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pStyle w:val="9"/>
        <w:jc w:val="both"/>
        <w:rPr>
          <w:color w:val="000000" w:themeColor="text1"/>
          <w:sz w:val="24"/>
          <w:szCs w:val="24"/>
        </w:rPr>
      </w:pPr>
    </w:p>
    <w:p>
      <w:pPr>
        <w:spacing w:before="196"/>
        <w:ind w:left="361"/>
        <w:jc w:val="center"/>
        <w:rPr>
          <w:b/>
          <w:color w:val="000000" w:themeColor="text1"/>
          <w:sz w:val="72"/>
          <w:szCs w:val="72"/>
        </w:rPr>
      </w:pPr>
      <w:r>
        <w:rPr>
          <w:rFonts w:hint="eastAsia"/>
          <w:b/>
          <w:color w:val="000000" w:themeColor="text1"/>
          <w:sz w:val="72"/>
          <w:szCs w:val="72"/>
        </w:rPr>
        <w:t>上海市龙华烈士陵园绿化养护一标段项目</w:t>
      </w:r>
    </w:p>
    <w:p>
      <w:pPr>
        <w:widowControl/>
        <w:autoSpaceDE/>
        <w:autoSpaceDN/>
        <w:jc w:val="both"/>
        <w:rPr>
          <w:b/>
          <w:color w:val="000000" w:themeColor="text1"/>
          <w:sz w:val="72"/>
          <w:szCs w:val="72"/>
        </w:rPr>
      </w:pPr>
    </w:p>
    <w:p>
      <w:pPr>
        <w:widowControl/>
        <w:autoSpaceDE/>
        <w:autoSpaceDN/>
        <w:jc w:val="both"/>
        <w:rPr>
          <w:b/>
          <w:color w:val="000000" w:themeColor="text1"/>
          <w:sz w:val="72"/>
          <w:szCs w:val="72"/>
        </w:rPr>
      </w:pPr>
      <w:r>
        <w:rPr>
          <w:b/>
          <w:color w:val="000000" w:themeColor="text1"/>
          <w:sz w:val="72"/>
          <w:szCs w:val="72"/>
        </w:rPr>
        <w:br w:type="page"/>
      </w:r>
    </w:p>
    <w:p>
      <w:pPr>
        <w:spacing w:line="360" w:lineRule="auto"/>
        <w:ind w:firstLine="482" w:firstLineChars="200"/>
        <w:jc w:val="both"/>
        <w:rPr>
          <w:rFonts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1、项目概况</w:t>
      </w:r>
    </w:p>
    <w:p>
      <w:pPr>
        <w:pStyle w:val="22"/>
        <w:numPr>
          <w:ilvl w:val="1"/>
          <w:numId w:val="1"/>
        </w:numPr>
        <w:tabs>
          <w:tab w:val="left" w:pos="1002"/>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项目名称：上海市龙华烈士陵园绿化养护一标段项目</w:t>
      </w:r>
    </w:p>
    <w:p>
      <w:pPr>
        <w:pStyle w:val="22"/>
        <w:numPr>
          <w:ilvl w:val="1"/>
          <w:numId w:val="1"/>
        </w:numPr>
        <w:tabs>
          <w:tab w:val="left" w:pos="1002"/>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招标人：上海市龙华烈士陵园</w:t>
      </w:r>
    </w:p>
    <w:p>
      <w:pPr>
        <w:pStyle w:val="22"/>
        <w:numPr>
          <w:ilvl w:val="1"/>
          <w:numId w:val="1"/>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本招标文件是本项目招标过程中的规定文件，是各投标单位编制投标文件的依据，是招标人与中标单位签订养护承包合同的依据，也是本项目文件的主要组成部分。</w:t>
      </w:r>
    </w:p>
    <w:p>
      <w:pPr>
        <w:pStyle w:val="9"/>
        <w:spacing w:line="360" w:lineRule="auto"/>
        <w:ind w:firstLine="482" w:firstLineChars="200"/>
        <w:jc w:val="both"/>
        <w:rPr>
          <w:rFonts w:asciiTheme="minorEastAsia" w:hAnsiTheme="minorEastAsia" w:eastAsiaTheme="minorEastAsia" w:cstheme="minorEastAsia"/>
          <w:b/>
          <w:color w:val="000000" w:themeColor="text1"/>
          <w:sz w:val="24"/>
          <w:szCs w:val="24"/>
        </w:rPr>
      </w:pPr>
    </w:p>
    <w:p>
      <w:pPr>
        <w:spacing w:line="360" w:lineRule="auto"/>
        <w:ind w:firstLine="482" w:firstLineChars="200"/>
        <w:jc w:val="both"/>
        <w:rPr>
          <w:rFonts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2、发包地块情况</w:t>
      </w:r>
    </w:p>
    <w:p>
      <w:pPr>
        <w:spacing w:line="360" w:lineRule="auto"/>
        <w:ind w:firstLine="480" w:firstLineChars="200"/>
        <w:jc w:val="both"/>
        <w:rPr>
          <w:rFonts w:hint="eastAsia" w:asciiTheme="minorEastAsia" w:hAnsiTheme="minorEastAsia" w:eastAsiaTheme="minorEastAsia" w:cstheme="minorEastAsia"/>
          <w:bCs/>
          <w:color w:val="000000" w:themeColor="text1"/>
          <w:spacing w:val="-1"/>
          <w:sz w:val="24"/>
          <w:szCs w:val="24"/>
        </w:rPr>
      </w:pPr>
      <w:r>
        <w:rPr>
          <w:rFonts w:hint="eastAsia" w:asciiTheme="minorEastAsia" w:hAnsiTheme="minorEastAsia" w:eastAsiaTheme="minorEastAsia" w:cstheme="minorEastAsia"/>
          <w:bCs/>
          <w:color w:val="000000" w:themeColor="text1"/>
          <w:sz w:val="24"/>
          <w:szCs w:val="24"/>
        </w:rPr>
        <w:t>上海市龙华烈士陵园位于上海市徐汇区龙华西路180号，原为国民党淞沪警备司令部旧址和龙华革命烈士就义地</w:t>
      </w:r>
      <w:r>
        <w:rPr>
          <w:rFonts w:asciiTheme="minorEastAsia" w:hAnsiTheme="minorEastAsia" w:eastAsiaTheme="minorEastAsia" w:cstheme="minorEastAsia"/>
          <w:bCs/>
          <w:color w:val="000000" w:themeColor="text1"/>
          <w:sz w:val="24"/>
          <w:szCs w:val="24"/>
        </w:rPr>
        <w:t>，是一座集纪念瞻仰，旅游，文化，园林名胜于一体的新颖陵园，是全国重点文物保护单位和重点烈士纪念建筑物保护单位，4A红色旅游景区，四星级公园，全国爱国主义教育基地，全国中小学生研学实践教育基地，国家一级博物馆。</w:t>
      </w:r>
      <w:r>
        <w:rPr>
          <w:rFonts w:hint="eastAsia" w:asciiTheme="minorEastAsia" w:hAnsiTheme="minorEastAsia" w:eastAsiaTheme="minorEastAsia" w:cstheme="minorEastAsia"/>
          <w:bCs/>
          <w:color w:val="000000" w:themeColor="text1"/>
          <w:sz w:val="24"/>
          <w:szCs w:val="24"/>
        </w:rPr>
        <w:t>绿化养护按照一级绿地的养护要求进行管理，保障陵园庄重肃穆的绿化效果，提升英烈祭扫的环境氛围</w:t>
      </w:r>
      <w:r>
        <w:rPr>
          <w:rFonts w:hint="eastAsia" w:asciiTheme="minorEastAsia" w:hAnsiTheme="minorEastAsia" w:eastAsiaTheme="minorEastAsia" w:cstheme="minorEastAsia"/>
          <w:bCs/>
          <w:color w:val="000000" w:themeColor="text1"/>
          <w:spacing w:val="-1"/>
          <w:sz w:val="24"/>
          <w:szCs w:val="24"/>
        </w:rPr>
        <w:t>。</w:t>
      </w:r>
    </w:p>
    <w:p>
      <w:pPr>
        <w:spacing w:line="360" w:lineRule="auto"/>
        <w:ind w:firstLine="476" w:firstLineChars="200"/>
        <w:jc w:val="both"/>
        <w:rPr>
          <w:rFonts w:hint="eastAsia" w:asciiTheme="minorEastAsia" w:hAnsiTheme="minorEastAsia" w:eastAsiaTheme="minorEastAsia" w:cstheme="minorEastAsia"/>
          <w:bCs/>
          <w:color w:val="000000" w:themeColor="text1"/>
          <w:spacing w:val="-1"/>
          <w:sz w:val="24"/>
          <w:szCs w:val="24"/>
        </w:rPr>
      </w:pPr>
    </w:p>
    <w:p>
      <w:pPr>
        <w:spacing w:line="360" w:lineRule="auto"/>
        <w:ind w:firstLine="482" w:firstLineChars="200"/>
        <w:jc w:val="both"/>
        <w:rPr>
          <w:rFonts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3、现场条件</w:t>
      </w:r>
    </w:p>
    <w:p>
      <w:pPr>
        <w:pStyle w:val="22"/>
        <w:numPr>
          <w:ilvl w:val="1"/>
          <w:numId w:val="2"/>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lang w:val="en-US"/>
        </w:rPr>
        <w:t>甲方</w:t>
      </w:r>
      <w:r>
        <w:rPr>
          <w:rFonts w:hint="eastAsia" w:asciiTheme="minorEastAsia" w:hAnsiTheme="minorEastAsia" w:eastAsiaTheme="minorEastAsia" w:cstheme="minorEastAsia"/>
          <w:bCs/>
          <w:sz w:val="24"/>
          <w:szCs w:val="24"/>
        </w:rPr>
        <w:t>提供水、电、工具用房</w:t>
      </w:r>
      <w:r>
        <w:rPr>
          <w:rFonts w:hint="eastAsia" w:asciiTheme="minorEastAsia" w:hAnsiTheme="minorEastAsia" w:eastAsiaTheme="minorEastAsia" w:cstheme="minorEastAsia"/>
          <w:bCs/>
          <w:color w:val="000000" w:themeColor="text1"/>
          <w:sz w:val="24"/>
          <w:szCs w:val="24"/>
        </w:rPr>
        <w:t>、办公场所，不提供生活用房、养护机械等设施，</w:t>
      </w:r>
      <w:r>
        <w:rPr>
          <w:rFonts w:hint="eastAsia" w:asciiTheme="minorEastAsia" w:hAnsiTheme="minorEastAsia" w:eastAsiaTheme="minorEastAsia" w:cstheme="minorEastAsia"/>
          <w:bCs/>
          <w:color w:val="000000" w:themeColor="text1"/>
          <w:sz w:val="24"/>
          <w:szCs w:val="24"/>
          <w:lang w:val="en-US"/>
        </w:rPr>
        <w:t>中标公司</w:t>
      </w:r>
      <w:r>
        <w:rPr>
          <w:rFonts w:hint="eastAsia" w:asciiTheme="minorEastAsia" w:hAnsiTheme="minorEastAsia" w:eastAsiaTheme="minorEastAsia" w:cstheme="minorEastAsia"/>
          <w:bCs/>
          <w:color w:val="000000" w:themeColor="text1"/>
          <w:sz w:val="24"/>
          <w:szCs w:val="24"/>
        </w:rPr>
        <w:t>自行安排。</w:t>
      </w:r>
    </w:p>
    <w:p>
      <w:pPr>
        <w:pStyle w:val="22"/>
        <w:numPr>
          <w:ilvl w:val="1"/>
          <w:numId w:val="2"/>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lang w:val="en-US"/>
        </w:rPr>
        <w:t>中标公司</w:t>
      </w:r>
      <w:r>
        <w:rPr>
          <w:rFonts w:hint="eastAsia" w:asciiTheme="minorEastAsia" w:hAnsiTheme="minorEastAsia" w:eastAsiaTheme="minorEastAsia" w:cstheme="minorEastAsia"/>
          <w:bCs/>
          <w:color w:val="000000" w:themeColor="text1"/>
          <w:sz w:val="24"/>
          <w:szCs w:val="24"/>
        </w:rPr>
        <w:t>应重视养护工人在现场操作时的安全问题，进行上岗安全知识教育，采取必要的安全保障措施。有相应的防疫物资和应对措施，满足</w:t>
      </w:r>
      <w:r>
        <w:rPr>
          <w:rFonts w:hint="eastAsia" w:asciiTheme="minorEastAsia" w:hAnsiTheme="minorEastAsia" w:eastAsiaTheme="minorEastAsia" w:cstheme="minorEastAsia"/>
          <w:bCs/>
          <w:color w:val="000000" w:themeColor="text1"/>
          <w:sz w:val="24"/>
          <w:szCs w:val="24"/>
          <w:lang w:val="en-US"/>
        </w:rPr>
        <w:t>甲方</w:t>
      </w:r>
      <w:r>
        <w:rPr>
          <w:rFonts w:hint="eastAsia" w:asciiTheme="minorEastAsia" w:hAnsiTheme="minorEastAsia" w:eastAsiaTheme="minorEastAsia" w:cstheme="minorEastAsia"/>
          <w:bCs/>
          <w:color w:val="000000" w:themeColor="text1"/>
          <w:sz w:val="24"/>
          <w:szCs w:val="24"/>
        </w:rPr>
        <w:t>常态化防疫工作的开展。</w:t>
      </w:r>
    </w:p>
    <w:p>
      <w:pPr>
        <w:pStyle w:val="22"/>
        <w:numPr>
          <w:ilvl w:val="1"/>
          <w:numId w:val="2"/>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养护工作中应配置统一工作服，注意文明用语，做到工完场清，妥善安排好养护工具的摆放和绿化垃圾的处置。高空作业、动火作业需手续办理后方可开工，安全保障物资应合规使用。高温天气注意避开高温时期进行室外作业，极端天气注意安全防范工作。</w:t>
      </w:r>
    </w:p>
    <w:p>
      <w:pPr>
        <w:pStyle w:val="9"/>
        <w:spacing w:line="360" w:lineRule="auto"/>
        <w:ind w:firstLine="480" w:firstLineChars="200"/>
        <w:jc w:val="both"/>
        <w:rPr>
          <w:rFonts w:asciiTheme="minorEastAsia" w:hAnsiTheme="minorEastAsia" w:eastAsiaTheme="minorEastAsia" w:cstheme="minorEastAsia"/>
          <w:bCs/>
          <w:color w:val="000000" w:themeColor="text1"/>
          <w:sz w:val="24"/>
          <w:szCs w:val="24"/>
        </w:rPr>
      </w:pPr>
    </w:p>
    <w:p>
      <w:pPr>
        <w:spacing w:line="360" w:lineRule="auto"/>
        <w:ind w:firstLine="482" w:firstLineChars="200"/>
        <w:jc w:val="both"/>
        <w:rPr>
          <w:rFonts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4、承包内容和范围</w:t>
      </w:r>
    </w:p>
    <w:p>
      <w:pPr>
        <w:pStyle w:val="22"/>
        <w:numPr>
          <w:ilvl w:val="1"/>
          <w:numId w:val="3"/>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上海市龙华烈士陵园园区绿化养护面积为龙陵主甬道以东的权属范围（含主轴，绿地面积约6万平方米），可自行实地踏勘。草坪、园林树木、古树名木、林地、绿篱及地被的除草、病虫害防治、修剪、灌溉、缺绿补植等养护工作；与养护对应的档案资料管理工作；重大节点园内景观绿化工作。</w:t>
      </w:r>
    </w:p>
    <w:p>
      <w:pPr>
        <w:pStyle w:val="22"/>
        <w:numPr>
          <w:ilvl w:val="1"/>
          <w:numId w:val="3"/>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不包括应要求进行的对外发生的防台防汛、抢险等的费用；不包括设施大修；不包括厕所保洁、清扫保洁、保安巡逻发生的人工费用。除上述内容以外苗木调整和专类植物种植调整的用工包括在养护工作内，苗木费用按照定额套取，进行专项费用控制，苗木由乙方进行采购和种植，苗木进场需要经过甲方品质检验。</w:t>
      </w:r>
    </w:p>
    <w:p>
      <w:pPr>
        <w:pStyle w:val="22"/>
        <w:numPr>
          <w:ilvl w:val="1"/>
          <w:numId w:val="3"/>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养护期间，若发生非业主方或自然因素，或因承包方养护管理不善造成绿地内各类苗木的死亡（包括人为践踏造成的）</w:t>
      </w:r>
      <w:r>
        <w:rPr>
          <w:rFonts w:hint="eastAsia" w:asciiTheme="minorEastAsia" w:hAnsiTheme="minorEastAsia" w:eastAsiaTheme="minorEastAsia" w:cstheme="minorEastAsia"/>
          <w:bCs/>
          <w:color w:val="000000" w:themeColor="text1"/>
          <w:spacing w:val="-2"/>
          <w:sz w:val="24"/>
          <w:szCs w:val="24"/>
        </w:rPr>
        <w:t>和建筑、道路地坪</w:t>
      </w:r>
      <w:r>
        <w:rPr>
          <w:rFonts w:hint="eastAsia" w:asciiTheme="minorEastAsia" w:hAnsiTheme="minorEastAsia" w:eastAsiaTheme="minorEastAsia" w:cstheme="minorEastAsia"/>
          <w:bCs/>
          <w:color w:val="000000" w:themeColor="text1"/>
          <w:sz w:val="24"/>
          <w:szCs w:val="24"/>
        </w:rPr>
        <w:t>等设施损坏，均由</w:t>
      </w:r>
      <w:r>
        <w:rPr>
          <w:rFonts w:hint="eastAsia" w:asciiTheme="minorEastAsia" w:hAnsiTheme="minorEastAsia" w:eastAsiaTheme="minorEastAsia" w:cstheme="minorEastAsia"/>
          <w:bCs/>
          <w:color w:val="000000" w:themeColor="text1"/>
          <w:sz w:val="24"/>
          <w:szCs w:val="24"/>
          <w:lang w:val="en-US"/>
        </w:rPr>
        <w:t>中标公司</w:t>
      </w:r>
      <w:r>
        <w:rPr>
          <w:rFonts w:hint="eastAsia" w:asciiTheme="minorEastAsia" w:hAnsiTheme="minorEastAsia" w:eastAsiaTheme="minorEastAsia" w:cstheme="minorEastAsia"/>
          <w:bCs/>
          <w:color w:val="000000" w:themeColor="text1"/>
          <w:sz w:val="24"/>
          <w:szCs w:val="24"/>
        </w:rPr>
        <w:t>负责补缺和修缮。</w:t>
      </w:r>
    </w:p>
    <w:p>
      <w:pPr>
        <w:pStyle w:val="22"/>
        <w:numPr>
          <w:ilvl w:val="1"/>
          <w:numId w:val="3"/>
        </w:numPr>
        <w:tabs>
          <w:tab w:val="left" w:pos="983"/>
        </w:tabs>
        <w:spacing w:line="360" w:lineRule="auto"/>
        <w:ind w:left="0" w:firstLine="476"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pacing w:val="-1"/>
          <w:sz w:val="24"/>
          <w:szCs w:val="24"/>
        </w:rPr>
        <w:t>苗木过密的林区，每年必须按招标人要求进行苗木的淘汰和抽稀。苗木淘汰以及少量苗木抽稀而产生的挖掘、移植等费用包含在报价中。</w:t>
      </w:r>
      <w:r>
        <w:rPr>
          <w:rFonts w:hint="eastAsia" w:asciiTheme="minorEastAsia" w:hAnsiTheme="minorEastAsia" w:eastAsiaTheme="minorEastAsia" w:cstheme="minorEastAsia"/>
          <w:bCs/>
          <w:color w:val="000000" w:themeColor="text1"/>
          <w:sz w:val="24"/>
          <w:szCs w:val="24"/>
        </w:rPr>
        <w:t>因疏植而发生的多余苗木，其产权归</w:t>
      </w:r>
      <w:r>
        <w:rPr>
          <w:rFonts w:hint="eastAsia" w:asciiTheme="minorEastAsia" w:hAnsiTheme="minorEastAsia" w:eastAsiaTheme="minorEastAsia" w:cstheme="minorEastAsia"/>
          <w:bCs/>
          <w:color w:val="000000" w:themeColor="text1"/>
          <w:sz w:val="24"/>
          <w:szCs w:val="24"/>
          <w:lang w:val="en-US"/>
        </w:rPr>
        <w:t>甲方</w:t>
      </w:r>
      <w:r>
        <w:rPr>
          <w:rFonts w:hint="eastAsia" w:asciiTheme="minorEastAsia" w:hAnsiTheme="minorEastAsia" w:eastAsiaTheme="minorEastAsia" w:cstheme="minorEastAsia"/>
          <w:bCs/>
          <w:color w:val="000000" w:themeColor="text1"/>
          <w:sz w:val="24"/>
          <w:szCs w:val="24"/>
        </w:rPr>
        <w:t>所有。</w:t>
      </w:r>
    </w:p>
    <w:p>
      <w:pPr>
        <w:pStyle w:val="22"/>
        <w:numPr>
          <w:ilvl w:val="1"/>
          <w:numId w:val="3"/>
        </w:numPr>
        <w:tabs>
          <w:tab w:val="left" w:pos="1083"/>
        </w:tabs>
        <w:spacing w:line="360" w:lineRule="auto"/>
        <w:ind w:left="0" w:firstLine="476"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pacing w:val="-1"/>
          <w:sz w:val="24"/>
          <w:szCs w:val="24"/>
        </w:rPr>
        <w:t>包括防台防汛及按要求进行的演习活动等；包括要符合不断提高的服务</w:t>
      </w:r>
      <w:r>
        <w:rPr>
          <w:rFonts w:hint="eastAsia" w:asciiTheme="minorEastAsia" w:hAnsiTheme="minorEastAsia" w:eastAsiaTheme="minorEastAsia" w:cstheme="minorEastAsia"/>
          <w:bCs/>
          <w:color w:val="000000" w:themeColor="text1"/>
          <w:sz w:val="24"/>
          <w:szCs w:val="24"/>
        </w:rPr>
        <w:t>（质量）</w:t>
      </w:r>
      <w:r>
        <w:rPr>
          <w:rFonts w:hint="eastAsia" w:asciiTheme="minorEastAsia" w:hAnsiTheme="minorEastAsia" w:eastAsiaTheme="minorEastAsia" w:cstheme="minorEastAsia"/>
          <w:bCs/>
          <w:color w:val="000000" w:themeColor="text1"/>
          <w:spacing w:val="-3"/>
          <w:sz w:val="24"/>
          <w:szCs w:val="24"/>
        </w:rPr>
        <w:t>要求；包括对</w:t>
      </w:r>
      <w:r>
        <w:rPr>
          <w:rFonts w:hint="eastAsia" w:asciiTheme="minorEastAsia" w:hAnsiTheme="minorEastAsia" w:eastAsiaTheme="minorEastAsia" w:cstheme="minorEastAsia"/>
          <w:bCs/>
          <w:color w:val="000000" w:themeColor="text1"/>
          <w:sz w:val="24"/>
          <w:szCs w:val="24"/>
        </w:rPr>
        <w:t>发生的游客等安全问题的应对、应急措施。</w:t>
      </w:r>
    </w:p>
    <w:p>
      <w:pPr>
        <w:pStyle w:val="22"/>
        <w:numPr>
          <w:ilvl w:val="1"/>
          <w:numId w:val="3"/>
        </w:numPr>
        <w:tabs>
          <w:tab w:val="left" w:pos="1174"/>
        </w:tabs>
        <w:spacing w:line="360" w:lineRule="auto"/>
        <w:ind w:left="0" w:firstLine="476"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pacing w:val="-1"/>
          <w:sz w:val="24"/>
          <w:szCs w:val="24"/>
        </w:rPr>
        <w:t>特殊情况下，如节假日、配合检查、市区局举办的各类“创建”活动等，</w:t>
      </w:r>
      <w:r>
        <w:rPr>
          <w:rFonts w:hint="eastAsia" w:asciiTheme="minorEastAsia" w:hAnsiTheme="minorEastAsia" w:eastAsiaTheme="minorEastAsia" w:cstheme="minorEastAsia"/>
          <w:bCs/>
          <w:color w:val="000000" w:themeColor="text1"/>
          <w:spacing w:val="-1"/>
          <w:sz w:val="24"/>
          <w:szCs w:val="24"/>
          <w:lang w:val="en-US"/>
        </w:rPr>
        <w:t>甲方</w:t>
      </w:r>
      <w:r>
        <w:rPr>
          <w:rFonts w:hint="eastAsia" w:asciiTheme="minorEastAsia" w:hAnsiTheme="minorEastAsia" w:eastAsiaTheme="minorEastAsia" w:cstheme="minorEastAsia"/>
          <w:bCs/>
          <w:color w:val="000000" w:themeColor="text1"/>
          <w:spacing w:val="-1"/>
          <w:sz w:val="24"/>
          <w:szCs w:val="24"/>
        </w:rPr>
        <w:t>要求</w:t>
      </w:r>
      <w:r>
        <w:rPr>
          <w:rFonts w:hint="eastAsia" w:asciiTheme="minorEastAsia" w:hAnsiTheme="minorEastAsia" w:eastAsiaTheme="minorEastAsia" w:cstheme="minorEastAsia"/>
          <w:bCs/>
          <w:color w:val="000000" w:themeColor="text1"/>
          <w:spacing w:val="-1"/>
          <w:sz w:val="24"/>
          <w:szCs w:val="24"/>
          <w:lang w:val="en-US"/>
        </w:rPr>
        <w:t>中标公司</w:t>
      </w:r>
      <w:r>
        <w:rPr>
          <w:rFonts w:hint="eastAsia" w:asciiTheme="minorEastAsia" w:hAnsiTheme="minorEastAsia" w:eastAsiaTheme="minorEastAsia" w:cstheme="minorEastAsia"/>
          <w:bCs/>
          <w:color w:val="000000" w:themeColor="text1"/>
          <w:spacing w:val="-1"/>
          <w:sz w:val="24"/>
          <w:szCs w:val="24"/>
        </w:rPr>
        <w:t>服从调配，</w:t>
      </w:r>
      <w:r>
        <w:rPr>
          <w:rFonts w:hint="eastAsia" w:asciiTheme="minorEastAsia" w:hAnsiTheme="minorEastAsia" w:eastAsiaTheme="minorEastAsia" w:cstheme="minorEastAsia"/>
          <w:bCs/>
          <w:color w:val="000000" w:themeColor="text1"/>
          <w:spacing w:val="-1"/>
          <w:sz w:val="24"/>
          <w:szCs w:val="24"/>
          <w:lang w:val="en-US"/>
        </w:rPr>
        <w:t>中标公司</w:t>
      </w:r>
      <w:r>
        <w:rPr>
          <w:rFonts w:hint="eastAsia" w:asciiTheme="minorEastAsia" w:hAnsiTheme="minorEastAsia" w:eastAsiaTheme="minorEastAsia" w:cstheme="minorEastAsia"/>
          <w:bCs/>
          <w:color w:val="000000" w:themeColor="text1"/>
          <w:spacing w:val="-1"/>
          <w:sz w:val="24"/>
          <w:szCs w:val="24"/>
        </w:rPr>
        <w:t>须无条件听从。</w:t>
      </w:r>
    </w:p>
    <w:p>
      <w:pPr>
        <w:pStyle w:val="22"/>
        <w:numPr>
          <w:ilvl w:val="1"/>
          <w:numId w:val="3"/>
        </w:numPr>
        <w:tabs>
          <w:tab w:val="left" w:pos="1174"/>
        </w:tabs>
        <w:spacing w:line="360" w:lineRule="auto"/>
        <w:ind w:left="0" w:firstLine="476"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pacing w:val="-1"/>
          <w:sz w:val="24"/>
          <w:szCs w:val="24"/>
        </w:rPr>
        <w:t>本项目有农药、肥料和覆盖物等施用工作。本项目每年用于绿地的肥料介质、</w:t>
      </w:r>
      <w:r>
        <w:rPr>
          <w:rFonts w:hint="eastAsia" w:asciiTheme="minorEastAsia" w:hAnsiTheme="minorEastAsia" w:eastAsiaTheme="minorEastAsia" w:cstheme="minorEastAsia"/>
          <w:bCs/>
          <w:color w:val="000000" w:themeColor="text1"/>
          <w:sz w:val="24"/>
          <w:szCs w:val="24"/>
        </w:rPr>
        <w:t>植保等材料由</w:t>
      </w:r>
      <w:r>
        <w:rPr>
          <w:rFonts w:hint="eastAsia" w:asciiTheme="minorEastAsia" w:hAnsiTheme="minorEastAsia" w:eastAsiaTheme="minorEastAsia" w:cstheme="minorEastAsia"/>
          <w:bCs/>
          <w:color w:val="000000" w:themeColor="text1"/>
          <w:sz w:val="24"/>
          <w:szCs w:val="24"/>
          <w:lang w:val="en-US"/>
        </w:rPr>
        <w:t>甲方</w:t>
      </w:r>
      <w:r>
        <w:rPr>
          <w:rFonts w:hint="eastAsia" w:asciiTheme="minorEastAsia" w:hAnsiTheme="minorEastAsia" w:eastAsiaTheme="minorEastAsia" w:cstheme="minorEastAsia"/>
          <w:bCs/>
          <w:color w:val="000000" w:themeColor="text1"/>
          <w:sz w:val="24"/>
          <w:szCs w:val="24"/>
        </w:rPr>
        <w:t>品质控制，</w:t>
      </w:r>
      <w:r>
        <w:rPr>
          <w:rFonts w:hint="eastAsia" w:asciiTheme="minorEastAsia" w:hAnsiTheme="minorEastAsia" w:eastAsiaTheme="minorEastAsia" w:cstheme="minorEastAsia"/>
          <w:bCs/>
          <w:color w:val="000000" w:themeColor="text1"/>
          <w:spacing w:val="-3"/>
          <w:sz w:val="24"/>
          <w:szCs w:val="24"/>
        </w:rPr>
        <w:t>由</w:t>
      </w:r>
      <w:r>
        <w:rPr>
          <w:rFonts w:hint="eastAsia" w:asciiTheme="minorEastAsia" w:hAnsiTheme="minorEastAsia" w:eastAsiaTheme="minorEastAsia" w:cstheme="minorEastAsia"/>
          <w:bCs/>
          <w:color w:val="000000" w:themeColor="text1"/>
          <w:spacing w:val="-3"/>
          <w:sz w:val="24"/>
          <w:szCs w:val="24"/>
          <w:lang w:val="en-US"/>
        </w:rPr>
        <w:t>中标公司</w:t>
      </w:r>
      <w:r>
        <w:rPr>
          <w:rFonts w:hint="eastAsia" w:asciiTheme="minorEastAsia" w:hAnsiTheme="minorEastAsia" w:eastAsiaTheme="minorEastAsia" w:cstheme="minorEastAsia"/>
          <w:bCs/>
          <w:color w:val="000000" w:themeColor="text1"/>
          <w:spacing w:val="-3"/>
          <w:sz w:val="24"/>
          <w:szCs w:val="24"/>
        </w:rPr>
        <w:t>进行</w:t>
      </w:r>
      <w:r>
        <w:rPr>
          <w:rFonts w:hint="eastAsia" w:asciiTheme="minorEastAsia" w:hAnsiTheme="minorEastAsia" w:eastAsiaTheme="minorEastAsia" w:cstheme="minorEastAsia"/>
          <w:bCs/>
          <w:color w:val="000000" w:themeColor="text1"/>
          <w:sz w:val="24"/>
          <w:szCs w:val="24"/>
        </w:rPr>
        <w:t>采购。须将材料样品报</w:t>
      </w:r>
      <w:r>
        <w:rPr>
          <w:rFonts w:hint="eastAsia" w:asciiTheme="minorEastAsia" w:hAnsiTheme="minorEastAsia" w:eastAsiaTheme="minorEastAsia" w:cstheme="minorEastAsia"/>
          <w:bCs/>
          <w:color w:val="000000" w:themeColor="text1"/>
          <w:sz w:val="24"/>
          <w:szCs w:val="24"/>
          <w:lang w:val="en-US"/>
        </w:rPr>
        <w:t>甲方</w:t>
      </w:r>
      <w:r>
        <w:rPr>
          <w:rFonts w:hint="eastAsia" w:asciiTheme="minorEastAsia" w:hAnsiTheme="minorEastAsia" w:eastAsiaTheme="minorEastAsia" w:cstheme="minorEastAsia"/>
          <w:bCs/>
          <w:color w:val="000000" w:themeColor="text1"/>
          <w:sz w:val="24"/>
          <w:szCs w:val="24"/>
        </w:rPr>
        <w:t>审核通过后实施，以保障材料的质量。</w:t>
      </w:r>
    </w:p>
    <w:p>
      <w:pPr>
        <w:pStyle w:val="9"/>
        <w:spacing w:line="360" w:lineRule="auto"/>
        <w:ind w:firstLine="480" w:firstLineChars="200"/>
        <w:jc w:val="both"/>
        <w:rPr>
          <w:rFonts w:asciiTheme="minorEastAsia" w:hAnsiTheme="minorEastAsia" w:eastAsiaTheme="minorEastAsia" w:cstheme="minorEastAsia"/>
          <w:bCs/>
          <w:color w:val="000000" w:themeColor="text1"/>
          <w:sz w:val="24"/>
          <w:szCs w:val="24"/>
        </w:rPr>
      </w:pPr>
    </w:p>
    <w:p>
      <w:pPr>
        <w:spacing w:line="360" w:lineRule="auto"/>
        <w:ind w:firstLine="482" w:firstLineChars="200"/>
        <w:jc w:val="both"/>
        <w:rPr>
          <w:rFonts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5、承包期限和方式</w:t>
      </w:r>
    </w:p>
    <w:p>
      <w:pPr>
        <w:pStyle w:val="22"/>
        <w:numPr>
          <w:ilvl w:val="1"/>
          <w:numId w:val="4"/>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绿化养护时长为202</w:t>
      </w:r>
      <w:r>
        <w:rPr>
          <w:rFonts w:asciiTheme="minorEastAsia" w:hAnsiTheme="minorEastAsia" w:eastAsiaTheme="minorEastAsia" w:cstheme="minorEastAsia"/>
          <w:bCs/>
          <w:color w:val="000000" w:themeColor="text1"/>
          <w:sz w:val="24"/>
          <w:szCs w:val="24"/>
        </w:rPr>
        <w:t>3</w:t>
      </w:r>
      <w:r>
        <w:rPr>
          <w:rFonts w:hint="eastAsia" w:asciiTheme="minorEastAsia" w:hAnsiTheme="minorEastAsia" w:eastAsiaTheme="minorEastAsia" w:cstheme="minorEastAsia"/>
          <w:bCs/>
          <w:color w:val="000000" w:themeColor="text1"/>
          <w:sz w:val="24"/>
          <w:szCs w:val="24"/>
        </w:rPr>
        <w:t>年整年度。</w:t>
      </w:r>
    </w:p>
    <w:p>
      <w:pPr>
        <w:pStyle w:val="22"/>
        <w:numPr>
          <w:ilvl w:val="1"/>
          <w:numId w:val="4"/>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承包方式：采用包工包料方式。</w:t>
      </w:r>
    </w:p>
    <w:p>
      <w:pPr>
        <w:pStyle w:val="22"/>
        <w:numPr>
          <w:ilvl w:val="1"/>
          <w:numId w:val="4"/>
        </w:numPr>
        <w:tabs>
          <w:tab w:val="left" w:pos="983"/>
        </w:tabs>
        <w:spacing w:line="360" w:lineRule="auto"/>
        <w:ind w:left="0" w:firstLine="480" w:firstLineChars="200"/>
        <w:jc w:val="both"/>
        <w:rPr>
          <w:rFonts w:asciiTheme="minorEastAsia" w:hAnsiTheme="minorEastAsia" w:eastAsiaTheme="minorEastAsia" w:cstheme="minorEastAsia"/>
          <w:bCs/>
          <w:color w:val="000000" w:themeColor="text1"/>
          <w:sz w:val="24"/>
          <w:szCs w:val="24"/>
        </w:rPr>
      </w:pPr>
      <w:r>
        <w:rPr>
          <w:rFonts w:hint="eastAsia" w:asciiTheme="minorEastAsia" w:hAnsiTheme="minorEastAsia" w:eastAsiaTheme="minorEastAsia" w:cstheme="minorEastAsia"/>
          <w:bCs/>
          <w:color w:val="000000" w:themeColor="text1"/>
          <w:sz w:val="24"/>
          <w:szCs w:val="24"/>
        </w:rPr>
        <w:t>养护人员要求：根据养护作业的具体要求，其他季节性临时工总人工数由投标单位自行核算申报。</w:t>
      </w:r>
    </w:p>
    <w:p>
      <w:pPr>
        <w:widowControl/>
        <w:autoSpaceDE/>
        <w:autoSpaceDN/>
        <w:jc w:val="both"/>
        <w:rPr>
          <w:rFonts w:asciiTheme="minorEastAsia" w:hAnsiTheme="minorEastAsia" w:eastAsiaTheme="minorEastAsia" w:cstheme="minorEastAsia"/>
          <w:bCs/>
          <w:color w:val="000000" w:themeColor="text1"/>
          <w:sz w:val="24"/>
          <w:szCs w:val="24"/>
        </w:rPr>
      </w:pPr>
      <w:r>
        <w:rPr>
          <w:rFonts w:asciiTheme="minorEastAsia" w:hAnsiTheme="minorEastAsia" w:eastAsiaTheme="minorEastAsia" w:cstheme="minorEastAsia"/>
          <w:bCs/>
          <w:color w:val="000000" w:themeColor="text1"/>
          <w:sz w:val="24"/>
          <w:szCs w:val="24"/>
        </w:rPr>
        <w:br w:type="page"/>
      </w:r>
    </w:p>
    <w:p>
      <w:pPr>
        <w:pStyle w:val="9"/>
        <w:spacing w:line="360" w:lineRule="auto"/>
        <w:ind w:firstLine="480" w:firstLineChars="200"/>
        <w:jc w:val="both"/>
        <w:rPr>
          <w:color w:val="000000" w:themeColor="text1"/>
          <w:sz w:val="24"/>
          <w:szCs w:val="24"/>
        </w:rPr>
      </w:pPr>
      <w:r>
        <w:rPr>
          <w:rFonts w:hint="eastAsia"/>
          <w:color w:val="000000" w:themeColor="text1"/>
          <w:sz w:val="24"/>
          <w:szCs w:val="24"/>
        </w:rPr>
        <w:t>附件一、养护技术规范（包括但不限于）</w:t>
      </w:r>
    </w:p>
    <w:p>
      <w:pPr>
        <w:pStyle w:val="9"/>
        <w:spacing w:line="360" w:lineRule="auto"/>
        <w:ind w:firstLine="508" w:firstLineChars="200"/>
        <w:jc w:val="both"/>
        <w:rPr>
          <w:sz w:val="24"/>
          <w:szCs w:val="24"/>
        </w:rPr>
      </w:pPr>
      <w:r>
        <w:rPr>
          <w:rFonts w:hint="eastAsia"/>
          <w:spacing w:val="1"/>
          <w:w w:val="105"/>
          <w:sz w:val="24"/>
          <w:szCs w:val="24"/>
        </w:rPr>
        <w:t>《园林植物栽植技术规程》</w:t>
      </w:r>
      <w:r>
        <w:rPr>
          <w:rFonts w:hint="eastAsia"/>
          <w:w w:val="105"/>
          <w:sz w:val="24"/>
          <w:szCs w:val="24"/>
        </w:rPr>
        <w:t>DG/TJ08-18-2011</w:t>
      </w:r>
    </w:p>
    <w:p>
      <w:pPr>
        <w:pStyle w:val="9"/>
        <w:tabs>
          <w:tab w:val="left" w:pos="3933"/>
        </w:tabs>
        <w:spacing w:line="360" w:lineRule="auto"/>
        <w:ind w:firstLine="504" w:firstLineChars="200"/>
        <w:jc w:val="both"/>
        <w:rPr>
          <w:color w:val="000000" w:themeColor="text1"/>
          <w:sz w:val="24"/>
          <w:szCs w:val="24"/>
        </w:rPr>
      </w:pPr>
      <w:r>
        <w:rPr>
          <w:rFonts w:hint="eastAsia"/>
          <w:color w:val="000000" w:themeColor="text1"/>
          <w:w w:val="105"/>
          <w:sz w:val="24"/>
          <w:szCs w:val="24"/>
        </w:rPr>
        <w:t>《园林绿化养护技术规程》DG/TJ08-35-2014</w:t>
      </w:r>
      <w:r>
        <w:rPr>
          <w:rFonts w:hint="eastAsia"/>
          <w:color w:val="000000" w:themeColor="text1"/>
          <w:w w:val="105"/>
          <w:sz w:val="24"/>
          <w:szCs w:val="24"/>
        </w:rPr>
        <w:tab/>
      </w:r>
    </w:p>
    <w:p>
      <w:pPr>
        <w:pStyle w:val="9"/>
        <w:spacing w:line="360" w:lineRule="auto"/>
        <w:ind w:firstLine="504" w:firstLineChars="200"/>
        <w:jc w:val="both"/>
        <w:rPr>
          <w:sz w:val="24"/>
          <w:szCs w:val="24"/>
        </w:rPr>
      </w:pPr>
      <w:r>
        <w:rPr>
          <w:rFonts w:hint="eastAsia"/>
          <w:w w:val="105"/>
          <w:sz w:val="24"/>
          <w:szCs w:val="24"/>
        </w:rPr>
        <w:t>《绿化植物保护技术规程》DG/TJ08-35-2014</w:t>
      </w:r>
    </w:p>
    <w:p>
      <w:pPr>
        <w:pStyle w:val="9"/>
        <w:spacing w:line="360" w:lineRule="auto"/>
        <w:ind w:firstLine="504" w:firstLineChars="200"/>
        <w:jc w:val="both"/>
        <w:rPr>
          <w:sz w:val="24"/>
          <w:szCs w:val="24"/>
        </w:rPr>
      </w:pPr>
      <w:r>
        <w:rPr>
          <w:rFonts w:hint="eastAsia"/>
          <w:w w:val="105"/>
          <w:sz w:val="24"/>
          <w:szCs w:val="24"/>
        </w:rPr>
        <w:t>《园林绿化养护技术等级标准》DG/TJ08-702-2011</w:t>
      </w:r>
    </w:p>
    <w:p>
      <w:pPr>
        <w:pStyle w:val="9"/>
        <w:spacing w:line="360" w:lineRule="auto"/>
        <w:ind w:firstLine="504" w:firstLineChars="200"/>
        <w:jc w:val="both"/>
        <w:rPr>
          <w:sz w:val="24"/>
          <w:szCs w:val="24"/>
          <w:lang w:val="en-US"/>
        </w:rPr>
      </w:pPr>
      <w:r>
        <w:rPr>
          <w:rFonts w:hint="eastAsia"/>
          <w:w w:val="105"/>
          <w:sz w:val="24"/>
          <w:szCs w:val="24"/>
        </w:rPr>
        <w:t>《园林绿化工程施工</w:t>
      </w:r>
      <w:r>
        <w:rPr>
          <w:rFonts w:hint="eastAsia"/>
          <w:w w:val="105"/>
          <w:sz w:val="24"/>
          <w:szCs w:val="24"/>
          <w:lang w:val="en-US"/>
        </w:rPr>
        <w:t>质量验收标准</w:t>
      </w:r>
      <w:r>
        <w:rPr>
          <w:rFonts w:hint="eastAsia"/>
          <w:w w:val="105"/>
          <w:sz w:val="24"/>
          <w:szCs w:val="24"/>
        </w:rPr>
        <w:t>》DG/TJ08-</w:t>
      </w:r>
      <w:r>
        <w:rPr>
          <w:rFonts w:hint="eastAsia"/>
          <w:w w:val="105"/>
          <w:sz w:val="24"/>
          <w:szCs w:val="24"/>
          <w:lang w:val="en-US"/>
        </w:rPr>
        <w:t>701-</w:t>
      </w:r>
      <w:r>
        <w:rPr>
          <w:rFonts w:hint="eastAsia"/>
          <w:w w:val="105"/>
          <w:sz w:val="24"/>
          <w:szCs w:val="24"/>
        </w:rPr>
        <w:t>20</w:t>
      </w:r>
      <w:r>
        <w:rPr>
          <w:rFonts w:hint="eastAsia"/>
          <w:w w:val="105"/>
          <w:sz w:val="24"/>
          <w:szCs w:val="24"/>
          <w:lang w:val="en-US"/>
        </w:rPr>
        <w:t>10</w:t>
      </w:r>
    </w:p>
    <w:p>
      <w:pPr>
        <w:pStyle w:val="9"/>
        <w:spacing w:line="360" w:lineRule="auto"/>
        <w:ind w:firstLine="504" w:firstLineChars="200"/>
        <w:jc w:val="both"/>
        <w:rPr>
          <w:w w:val="105"/>
          <w:sz w:val="24"/>
          <w:szCs w:val="24"/>
        </w:rPr>
      </w:pPr>
      <w:r>
        <w:rPr>
          <w:rFonts w:hint="eastAsia"/>
          <w:w w:val="105"/>
          <w:sz w:val="24"/>
          <w:szCs w:val="24"/>
        </w:rPr>
        <w:t>《行道树养护技术规程》DG/TJ08-2105-2012</w:t>
      </w:r>
    </w:p>
    <w:p>
      <w:pPr>
        <w:pStyle w:val="9"/>
        <w:spacing w:line="360" w:lineRule="auto"/>
        <w:ind w:firstLine="552" w:firstLineChars="200"/>
        <w:jc w:val="both"/>
        <w:rPr>
          <w:sz w:val="24"/>
          <w:szCs w:val="24"/>
        </w:rPr>
      </w:pPr>
      <w:r>
        <w:rPr>
          <w:rFonts w:hint="eastAsia" w:cs="Times New Roman" w:asciiTheme="minorEastAsia" w:hAnsiTheme="minorEastAsia" w:eastAsiaTheme="minorEastAsia"/>
          <w:bCs/>
          <w:spacing w:val="18"/>
          <w:sz w:val="24"/>
          <w:szCs w:val="24"/>
        </w:rPr>
        <w:t>《行道树栽植技术规程》</w:t>
      </w:r>
      <w:r>
        <w:rPr>
          <w:rFonts w:cs="Times New Roman" w:asciiTheme="minorEastAsia" w:hAnsiTheme="minorEastAsia" w:eastAsiaTheme="minorEastAsia"/>
          <w:bCs/>
          <w:spacing w:val="18"/>
          <w:sz w:val="24"/>
          <w:szCs w:val="24"/>
        </w:rPr>
        <w:t>DG/TJ08-53-2016</w:t>
      </w:r>
      <w:r>
        <w:rPr>
          <w:rFonts w:hint="eastAsia" w:cs="Times New Roman" w:asciiTheme="minorEastAsia" w:hAnsiTheme="minorEastAsia" w:eastAsiaTheme="minorEastAsia"/>
          <w:bCs/>
          <w:spacing w:val="18"/>
          <w:sz w:val="24"/>
          <w:szCs w:val="24"/>
        </w:rPr>
        <w:t xml:space="preserve">  </w:t>
      </w:r>
    </w:p>
    <w:p>
      <w:pPr>
        <w:pStyle w:val="9"/>
        <w:tabs>
          <w:tab w:val="left" w:pos="2637"/>
        </w:tabs>
        <w:spacing w:line="360" w:lineRule="auto"/>
        <w:ind w:firstLine="504" w:firstLineChars="200"/>
        <w:jc w:val="both"/>
        <w:rPr>
          <w:color w:val="000000" w:themeColor="text1"/>
          <w:sz w:val="24"/>
          <w:szCs w:val="24"/>
        </w:rPr>
      </w:pPr>
      <w:r>
        <w:rPr>
          <w:rFonts w:hint="eastAsia"/>
          <w:color w:val="000000" w:themeColor="text1"/>
          <w:w w:val="105"/>
          <w:sz w:val="24"/>
          <w:szCs w:val="24"/>
        </w:rPr>
        <w:t>《大树移植技术规程》DBJ08-53-96</w:t>
      </w:r>
    </w:p>
    <w:p>
      <w:pPr>
        <w:pStyle w:val="9"/>
        <w:tabs>
          <w:tab w:val="left" w:pos="2637"/>
        </w:tabs>
        <w:spacing w:line="360" w:lineRule="auto"/>
        <w:ind w:firstLine="504" w:firstLineChars="200"/>
        <w:jc w:val="both"/>
        <w:rPr>
          <w:color w:val="000000" w:themeColor="text1"/>
          <w:sz w:val="24"/>
          <w:szCs w:val="24"/>
        </w:rPr>
      </w:pPr>
      <w:r>
        <w:rPr>
          <w:rFonts w:hint="eastAsia"/>
          <w:color w:val="000000" w:themeColor="text1"/>
          <w:w w:val="105"/>
          <w:sz w:val="24"/>
          <w:szCs w:val="24"/>
        </w:rPr>
        <w:t>《园林绿化栽植土质量标准》DG/TJ08-231-2013</w:t>
      </w:r>
    </w:p>
    <w:p>
      <w:pPr>
        <w:pStyle w:val="9"/>
        <w:tabs>
          <w:tab w:val="left" w:pos="3573"/>
        </w:tabs>
        <w:spacing w:line="360" w:lineRule="auto"/>
        <w:ind w:firstLine="504" w:firstLineChars="200"/>
        <w:jc w:val="both"/>
        <w:rPr>
          <w:sz w:val="24"/>
          <w:szCs w:val="24"/>
        </w:rPr>
      </w:pPr>
      <w:r>
        <w:rPr>
          <w:rFonts w:hint="eastAsia"/>
          <w:w w:val="105"/>
          <w:sz w:val="24"/>
          <w:szCs w:val="24"/>
        </w:rPr>
        <w:t>《</w:t>
      </w:r>
      <w:r>
        <w:rPr>
          <w:rFonts w:hint="eastAsia" w:cs="Times New Roman" w:asciiTheme="minorEastAsia" w:hAnsiTheme="minorEastAsia" w:eastAsiaTheme="minorEastAsia"/>
          <w:bCs/>
          <w:spacing w:val="18"/>
          <w:sz w:val="24"/>
          <w:szCs w:val="24"/>
        </w:rPr>
        <w:t>园林绿化草坪建植和养护技术规程</w:t>
      </w:r>
      <w:r>
        <w:rPr>
          <w:rFonts w:hint="eastAsia"/>
          <w:w w:val="105"/>
          <w:sz w:val="24"/>
          <w:szCs w:val="24"/>
        </w:rPr>
        <w:t>》</w:t>
      </w:r>
      <w:r>
        <w:rPr>
          <w:w w:val="105"/>
          <w:sz w:val="24"/>
          <w:szCs w:val="24"/>
        </w:rPr>
        <w:t>DG/TJ08-67-2015</w:t>
      </w:r>
      <w:r>
        <w:rPr>
          <w:rFonts w:hint="eastAsia"/>
          <w:w w:val="105"/>
          <w:sz w:val="24"/>
          <w:szCs w:val="24"/>
        </w:rPr>
        <w:t xml:space="preserve">  </w:t>
      </w:r>
    </w:p>
    <w:p>
      <w:pPr>
        <w:pStyle w:val="9"/>
        <w:spacing w:line="360" w:lineRule="auto"/>
        <w:ind w:firstLine="504" w:firstLineChars="200"/>
        <w:jc w:val="both"/>
        <w:rPr>
          <w:w w:val="105"/>
          <w:sz w:val="24"/>
          <w:szCs w:val="24"/>
        </w:rPr>
      </w:pPr>
      <w:r>
        <w:rPr>
          <w:rFonts w:hint="eastAsia"/>
          <w:w w:val="105"/>
          <w:sz w:val="24"/>
          <w:szCs w:val="24"/>
        </w:rPr>
        <w:t>《</w:t>
      </w:r>
      <w:r>
        <w:rPr>
          <w:rFonts w:hint="eastAsia" w:asciiTheme="minorEastAsia" w:hAnsiTheme="minorEastAsia" w:eastAsiaTheme="minorEastAsia" w:cstheme="minorEastAsia"/>
          <w:sz w:val="24"/>
          <w:szCs w:val="24"/>
        </w:rPr>
        <w:t>上海市园林工程预算定额（2016）</w:t>
      </w:r>
      <w:r>
        <w:rPr>
          <w:rFonts w:hint="eastAsia"/>
          <w:w w:val="105"/>
          <w:sz w:val="24"/>
          <w:szCs w:val="24"/>
        </w:rPr>
        <w:t>》</w:t>
      </w:r>
    </w:p>
    <w:p>
      <w:pPr>
        <w:pStyle w:val="9"/>
        <w:tabs>
          <w:tab w:val="left" w:pos="2421"/>
        </w:tabs>
        <w:spacing w:line="360" w:lineRule="auto"/>
        <w:ind w:firstLine="504" w:firstLineChars="200"/>
        <w:jc w:val="both"/>
        <w:rPr>
          <w:w w:val="105"/>
          <w:sz w:val="24"/>
          <w:szCs w:val="24"/>
        </w:rPr>
      </w:pPr>
      <w:r>
        <w:rPr>
          <w:rFonts w:hint="eastAsia"/>
          <w:w w:val="105"/>
          <w:sz w:val="24"/>
          <w:szCs w:val="24"/>
        </w:rPr>
        <w:t>《立体绿化技术规程》DG/TJ08-75-2014</w:t>
      </w:r>
    </w:p>
    <w:p>
      <w:pPr>
        <w:pStyle w:val="9"/>
        <w:tabs>
          <w:tab w:val="left" w:pos="2421"/>
        </w:tabs>
        <w:spacing w:line="360" w:lineRule="auto"/>
        <w:ind w:firstLine="552" w:firstLineChars="200"/>
        <w:jc w:val="both"/>
        <w:rPr>
          <w:sz w:val="24"/>
          <w:szCs w:val="24"/>
        </w:rPr>
      </w:pPr>
      <w:r>
        <w:rPr>
          <w:rFonts w:hint="eastAsia" w:cs="Times New Roman" w:asciiTheme="minorEastAsia" w:hAnsiTheme="minorEastAsia" w:eastAsiaTheme="minorEastAsia"/>
          <w:bCs/>
          <w:spacing w:val="18"/>
          <w:sz w:val="24"/>
          <w:szCs w:val="24"/>
        </w:rPr>
        <w:t>《古树名木和古树后续资源养护技术规程》</w:t>
      </w:r>
      <w:r>
        <w:rPr>
          <w:w w:val="105"/>
          <w:sz w:val="24"/>
          <w:szCs w:val="24"/>
        </w:rPr>
        <w:t>DB31/T682-2013</w:t>
      </w:r>
      <w:r>
        <w:rPr>
          <w:rFonts w:hint="eastAsia"/>
          <w:w w:val="105"/>
          <w:sz w:val="24"/>
          <w:szCs w:val="24"/>
        </w:rPr>
        <w:t xml:space="preserve"> </w:t>
      </w:r>
    </w:p>
    <w:p>
      <w:pPr>
        <w:pStyle w:val="9"/>
        <w:spacing w:line="360" w:lineRule="auto"/>
        <w:ind w:firstLine="504" w:firstLineChars="200"/>
        <w:jc w:val="both"/>
        <w:rPr>
          <w:w w:val="105"/>
          <w:sz w:val="24"/>
          <w:szCs w:val="24"/>
        </w:rPr>
      </w:pPr>
      <w:r>
        <w:rPr>
          <w:rFonts w:hint="eastAsia"/>
          <w:w w:val="105"/>
          <w:sz w:val="24"/>
          <w:szCs w:val="24"/>
        </w:rPr>
        <w:t>《植物铭牌设置规范》DB31/T1233-2020</w:t>
      </w:r>
    </w:p>
    <w:p>
      <w:pPr>
        <w:pStyle w:val="9"/>
        <w:spacing w:line="360" w:lineRule="auto"/>
        <w:ind w:firstLine="504" w:firstLineChars="200"/>
        <w:jc w:val="both"/>
        <w:rPr>
          <w:color w:val="000000" w:themeColor="text1"/>
          <w:w w:val="105"/>
          <w:sz w:val="24"/>
          <w:szCs w:val="24"/>
        </w:rPr>
      </w:pPr>
    </w:p>
    <w:p>
      <w:pPr>
        <w:pStyle w:val="9"/>
        <w:spacing w:line="360" w:lineRule="auto"/>
        <w:ind w:firstLine="480" w:firstLineChars="200"/>
        <w:jc w:val="both"/>
        <w:rPr>
          <w:color w:val="000000" w:themeColor="text1"/>
          <w:sz w:val="24"/>
          <w:szCs w:val="24"/>
        </w:rPr>
      </w:pPr>
    </w:p>
    <w:p>
      <w:pPr>
        <w:pStyle w:val="9"/>
        <w:spacing w:line="360" w:lineRule="auto"/>
        <w:ind w:firstLine="504" w:firstLineChars="200"/>
        <w:jc w:val="both"/>
        <w:rPr>
          <w:color w:val="000000" w:themeColor="text1"/>
          <w:sz w:val="24"/>
          <w:szCs w:val="24"/>
        </w:rPr>
      </w:pPr>
      <w:r>
        <w:rPr>
          <w:rFonts w:hint="eastAsia"/>
          <w:color w:val="000000" w:themeColor="text1"/>
          <w:w w:val="105"/>
          <w:sz w:val="24"/>
          <w:szCs w:val="24"/>
        </w:rPr>
        <w:t>以上技术规程如有更新的，则按新标准执行</w:t>
      </w:r>
    </w:p>
    <w:p>
      <w:pPr>
        <w:pStyle w:val="9"/>
        <w:spacing w:line="360" w:lineRule="auto"/>
        <w:ind w:firstLine="476" w:firstLineChars="200"/>
        <w:jc w:val="both"/>
        <w:rPr>
          <w:color w:val="000000" w:themeColor="text1"/>
          <w:sz w:val="24"/>
          <w:szCs w:val="24"/>
        </w:rPr>
      </w:pPr>
      <w:r>
        <w:rPr>
          <w:rFonts w:hint="eastAsia"/>
          <w:color w:val="000000" w:themeColor="text1"/>
          <w:spacing w:val="-1"/>
          <w:sz w:val="24"/>
          <w:szCs w:val="24"/>
        </w:rPr>
        <w:t>应特别注意有害生物防控工作：①植保工作有专人负责；加强对煤污病和香樟黄化等重点病虫害的防控、做好其它常见病虫害的防治工作；做好</w:t>
      </w:r>
      <w:r>
        <w:rPr>
          <w:rFonts w:hint="eastAsia"/>
          <w:color w:val="000000" w:themeColor="text1"/>
          <w:w w:val="105"/>
          <w:sz w:val="24"/>
          <w:szCs w:val="24"/>
        </w:rPr>
        <w:t>防治机械设备的储备；做到工作有计划，防治有记录。②做好有害生物监测点的工作，落实专人负责监测数据的记录和上报。</w:t>
      </w:r>
    </w:p>
    <w:p>
      <w:pPr>
        <w:widowControl/>
        <w:autoSpaceDE/>
        <w:autoSpaceDN/>
        <w:jc w:val="both"/>
        <w:rPr>
          <w:color w:val="000000" w:themeColor="text1"/>
          <w:sz w:val="24"/>
          <w:szCs w:val="24"/>
        </w:rPr>
      </w:pPr>
      <w:r>
        <w:rPr>
          <w:color w:val="000000" w:themeColor="text1"/>
          <w:sz w:val="24"/>
          <w:szCs w:val="24"/>
        </w:rPr>
        <w:br w:type="page"/>
      </w:r>
    </w:p>
    <w:p>
      <w:pPr>
        <w:pStyle w:val="9"/>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color w:val="000000" w:themeColor="text1"/>
          <w:sz w:val="24"/>
          <w:szCs w:val="24"/>
        </w:rPr>
        <w:t>附件</w:t>
      </w:r>
      <w:r>
        <w:rPr>
          <w:rFonts w:hint="eastAsia"/>
          <w:color w:val="000000" w:themeColor="text1"/>
          <w:w w:val="105"/>
          <w:sz w:val="24"/>
          <w:szCs w:val="24"/>
        </w:rPr>
        <w:t>二、龙华烈士陵园一标段绿化养护要求</w:t>
      </w:r>
    </w:p>
    <w:p>
      <w:pPr>
        <w:spacing w:line="360" w:lineRule="auto"/>
        <w:ind w:firstLine="482"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color w:val="000000" w:themeColor="text1"/>
          <w:sz w:val="24"/>
          <w:szCs w:val="24"/>
        </w:rPr>
        <w:t>1、商务部分要求</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1.1</w:t>
      </w:r>
      <w:r>
        <w:rPr>
          <w:rFonts w:hint="eastAsia" w:asciiTheme="minorEastAsia" w:hAnsiTheme="minorEastAsia" w:eastAsiaTheme="minorEastAsia" w:cstheme="minorEastAsia"/>
          <w:color w:val="000000" w:themeColor="text1"/>
          <w:sz w:val="24"/>
          <w:szCs w:val="24"/>
          <w:lang w:val="en-US"/>
        </w:rPr>
        <w:t xml:space="preserve"> </w:t>
      </w:r>
      <w:r>
        <w:rPr>
          <w:rFonts w:hint="eastAsia" w:asciiTheme="minorEastAsia" w:hAnsiTheme="minorEastAsia" w:eastAsiaTheme="minorEastAsia" w:cstheme="minorEastAsia"/>
          <w:color w:val="000000" w:themeColor="text1"/>
          <w:sz w:val="24"/>
          <w:szCs w:val="24"/>
        </w:rPr>
        <w:t>企业能提供良好的技术服务，做到组织落实、人员落实、制度落实，近一年内有类似绿化养护项目业绩，近三年内无违法记录。</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1.2</w:t>
      </w:r>
      <w:r>
        <w:rPr>
          <w:rFonts w:hint="eastAsia" w:asciiTheme="minorEastAsia" w:hAnsiTheme="minorEastAsia" w:eastAsiaTheme="minorEastAsia" w:cstheme="minorEastAsia"/>
          <w:color w:val="000000" w:themeColor="text1"/>
          <w:sz w:val="24"/>
          <w:szCs w:val="24"/>
          <w:lang w:val="en-US"/>
        </w:rPr>
        <w:t xml:space="preserve"> </w:t>
      </w:r>
      <w:r>
        <w:rPr>
          <w:rFonts w:hint="eastAsia" w:asciiTheme="minorEastAsia" w:hAnsiTheme="minorEastAsia" w:eastAsiaTheme="minorEastAsia" w:cstheme="minorEastAsia"/>
          <w:color w:val="000000" w:themeColor="text1"/>
          <w:sz w:val="24"/>
          <w:szCs w:val="24"/>
        </w:rPr>
        <w:t>本项目不得转让或分包。</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w:t>
      </w:r>
      <w:r>
        <w:rPr>
          <w:rFonts w:hint="eastAsia" w:asciiTheme="minorEastAsia" w:hAnsiTheme="minorEastAsia" w:eastAsiaTheme="minorEastAsia" w:cstheme="minorEastAsia"/>
          <w:color w:val="000000" w:themeColor="text1"/>
          <w:sz w:val="24"/>
          <w:szCs w:val="24"/>
          <w:lang w:val="en-US"/>
        </w:rPr>
        <w:t xml:space="preserve">3 </w:t>
      </w:r>
      <w:r>
        <w:rPr>
          <w:rFonts w:hint="eastAsia" w:asciiTheme="minorEastAsia" w:hAnsiTheme="minorEastAsia" w:eastAsiaTheme="minorEastAsia" w:cstheme="minorEastAsia"/>
          <w:color w:val="000000" w:themeColor="text1"/>
          <w:sz w:val="24"/>
          <w:szCs w:val="24"/>
        </w:rPr>
        <w:t>本项目套用上海市园林工程预算定额（2016）进行报价，满足园林绿化养护技术等级标准（DG/TJ08-702-2011）的养护要求。</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报价按照市场最不利原则进行总价限定，若遇极端天气等不可控因素亦不再追加费用。养护费用按照季度进行支付，每季度款项需完成养护服务验收合格后进行支付。补植材料费用按季度以实际支出进行支付。</w:t>
      </w:r>
    </w:p>
    <w:p>
      <w:pPr>
        <w:spacing w:line="360" w:lineRule="auto"/>
        <w:ind w:firstLine="482" w:firstLineChars="200"/>
        <w:jc w:val="both"/>
        <w:rPr>
          <w:rFonts w:asciiTheme="minorEastAsia" w:hAnsiTheme="minorEastAsia" w:eastAsiaTheme="minorEastAsia" w:cstheme="minorEastAsia"/>
          <w:b/>
          <w:bCs/>
          <w:color w:val="000000" w:themeColor="text1"/>
          <w:sz w:val="24"/>
          <w:szCs w:val="24"/>
        </w:rPr>
      </w:pPr>
      <w:r>
        <w:rPr>
          <w:rFonts w:hint="eastAsia" w:asciiTheme="minorEastAsia" w:hAnsiTheme="minorEastAsia" w:eastAsiaTheme="minorEastAsia" w:cstheme="minorEastAsia"/>
          <w:b/>
          <w:bCs/>
          <w:color w:val="000000" w:themeColor="text1"/>
          <w:sz w:val="24"/>
          <w:szCs w:val="24"/>
        </w:rPr>
        <w:t>2、技术部分要求</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2.1</w:t>
      </w:r>
      <w:r>
        <w:rPr>
          <w:rFonts w:hint="eastAsia" w:asciiTheme="minorEastAsia" w:hAnsiTheme="minorEastAsia" w:eastAsiaTheme="minorEastAsia" w:cstheme="minorEastAsia"/>
          <w:color w:val="000000" w:themeColor="text1"/>
          <w:sz w:val="24"/>
          <w:szCs w:val="24"/>
          <w:lang w:val="en-US"/>
        </w:rPr>
        <w:t xml:space="preserve"> </w:t>
      </w:r>
      <w:r>
        <w:rPr>
          <w:rFonts w:hint="eastAsia" w:asciiTheme="minorEastAsia" w:hAnsiTheme="minorEastAsia" w:eastAsiaTheme="minorEastAsia" w:cstheme="minorEastAsia"/>
          <w:color w:val="000000" w:themeColor="text1"/>
          <w:sz w:val="24"/>
          <w:szCs w:val="24"/>
        </w:rPr>
        <w:t>项目实行项目负责人考勤制度，项目负责人需专业对口并驻场，获得绿化中级及以上职称或高级技师证书。特种作业员工须100%持有效证书上岗。编制满足龙陵养护工作所需的养护队伍并有切合实际的管理制度。</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2.2</w:t>
      </w:r>
      <w:r>
        <w:rPr>
          <w:rFonts w:hint="eastAsia" w:asciiTheme="minorEastAsia" w:hAnsiTheme="minorEastAsia" w:eastAsiaTheme="minorEastAsia" w:cstheme="minorEastAsia"/>
          <w:color w:val="000000" w:themeColor="text1"/>
          <w:sz w:val="24"/>
          <w:szCs w:val="24"/>
          <w:lang w:val="en-US"/>
        </w:rPr>
        <w:t xml:space="preserve"> </w:t>
      </w:r>
      <w:r>
        <w:rPr>
          <w:rFonts w:hint="eastAsia" w:asciiTheme="minorEastAsia" w:hAnsiTheme="minorEastAsia" w:eastAsiaTheme="minorEastAsia" w:cstheme="minorEastAsia"/>
          <w:color w:val="000000" w:themeColor="text1"/>
          <w:sz w:val="24"/>
          <w:szCs w:val="24"/>
        </w:rPr>
        <w:t>需要组建合理的养护队伍，提供符合龙陵特色的绿化养护全年计划方案和与之对应的养护器械，对园区珍贵苗木有专项养护计划。需配备养护人员：每年度基本养护人数最少不得少于</w:t>
      </w:r>
      <w:r>
        <w:rPr>
          <w:rFonts w:asciiTheme="minorEastAsia" w:hAnsiTheme="minorEastAsia" w:eastAsiaTheme="minorEastAsia" w:cstheme="minorEastAsia"/>
          <w:color w:val="000000" w:themeColor="text1"/>
          <w:sz w:val="24"/>
          <w:szCs w:val="24"/>
        </w:rPr>
        <w:t>5</w:t>
      </w:r>
      <w:r>
        <w:rPr>
          <w:rFonts w:hint="eastAsia" w:asciiTheme="minorEastAsia" w:hAnsiTheme="minorEastAsia" w:eastAsiaTheme="minorEastAsia" w:cstheme="minorEastAsia"/>
          <w:color w:val="000000" w:themeColor="text1"/>
          <w:sz w:val="24"/>
          <w:szCs w:val="24"/>
        </w:rPr>
        <w:t>人，其他季节性</w:t>
      </w:r>
      <w:r>
        <w:rPr>
          <w:rFonts w:hint="eastAsia" w:asciiTheme="minorEastAsia" w:hAnsiTheme="minorEastAsia" w:eastAsiaTheme="minorEastAsia" w:cstheme="minorEastAsia"/>
          <w:sz w:val="24"/>
          <w:szCs w:val="24"/>
        </w:rPr>
        <w:t>临时工总人工数由</w:t>
      </w:r>
      <w:r>
        <w:rPr>
          <w:rFonts w:hint="eastAsia" w:asciiTheme="minorEastAsia" w:hAnsiTheme="minorEastAsia" w:eastAsiaTheme="minorEastAsia" w:cstheme="minorEastAsia"/>
          <w:sz w:val="24"/>
          <w:szCs w:val="24"/>
          <w:lang w:val="en-US"/>
        </w:rPr>
        <w:t>中标公司</w:t>
      </w:r>
      <w:r>
        <w:rPr>
          <w:rFonts w:hint="eastAsia" w:asciiTheme="minorEastAsia" w:hAnsiTheme="minorEastAsia" w:eastAsiaTheme="minorEastAsia" w:cstheme="minorEastAsia"/>
          <w:sz w:val="24"/>
          <w:szCs w:val="24"/>
        </w:rPr>
        <w:t>自行核算申报。</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2.3</w:t>
      </w:r>
      <w:r>
        <w:rPr>
          <w:rFonts w:hint="eastAsia" w:asciiTheme="minorEastAsia" w:hAnsiTheme="minorEastAsia" w:eastAsiaTheme="minorEastAsia" w:cstheme="minorEastAsia"/>
          <w:color w:val="000000" w:themeColor="text1"/>
          <w:sz w:val="24"/>
          <w:szCs w:val="24"/>
          <w:lang w:val="en-US"/>
        </w:rPr>
        <w:t xml:space="preserve"> </w:t>
      </w:r>
      <w:r>
        <w:rPr>
          <w:rFonts w:hint="eastAsia" w:asciiTheme="minorEastAsia" w:hAnsiTheme="minorEastAsia" w:eastAsiaTheme="minorEastAsia" w:cstheme="minorEastAsia"/>
          <w:color w:val="000000" w:themeColor="text1"/>
          <w:sz w:val="24"/>
          <w:szCs w:val="24"/>
        </w:rPr>
        <w:t>养护人员穿戴统一标志性工作服进行操作，应满足防疫、安全等工作要求。</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w:t>
      </w:r>
      <w:r>
        <w:rPr>
          <w:rFonts w:hint="eastAsia" w:asciiTheme="minorEastAsia" w:hAnsiTheme="minorEastAsia" w:eastAsiaTheme="minorEastAsia" w:cstheme="minorEastAsia"/>
          <w:color w:val="000000" w:themeColor="text1"/>
          <w:sz w:val="24"/>
          <w:szCs w:val="24"/>
          <w:lang w:val="en-US"/>
        </w:rPr>
        <w:t xml:space="preserve">4 </w:t>
      </w:r>
      <w:r>
        <w:rPr>
          <w:rFonts w:hint="eastAsia" w:asciiTheme="minorEastAsia" w:hAnsiTheme="minorEastAsia" w:eastAsiaTheme="minorEastAsia" w:cstheme="minorEastAsia"/>
          <w:color w:val="000000" w:themeColor="text1"/>
          <w:sz w:val="24"/>
          <w:szCs w:val="24"/>
        </w:rPr>
        <w:t>进场绿化材料需经过甲方验收，保证植株无病虫害，有检疫合格证，满足相应规格要求，并填报相关进场记录。</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w:t>
      </w:r>
      <w:r>
        <w:rPr>
          <w:rFonts w:hint="eastAsia" w:asciiTheme="minorEastAsia" w:hAnsiTheme="minorEastAsia" w:eastAsiaTheme="minorEastAsia" w:cstheme="minorEastAsia"/>
          <w:color w:val="000000" w:themeColor="text1"/>
          <w:sz w:val="24"/>
          <w:szCs w:val="24"/>
          <w:lang w:val="en-US"/>
        </w:rPr>
        <w:t xml:space="preserve">5 </w:t>
      </w:r>
      <w:r>
        <w:rPr>
          <w:rFonts w:hint="eastAsia" w:asciiTheme="minorEastAsia" w:hAnsiTheme="minorEastAsia" w:eastAsiaTheme="minorEastAsia" w:cstheme="minorEastAsia"/>
          <w:color w:val="000000" w:themeColor="text1"/>
          <w:sz w:val="24"/>
          <w:szCs w:val="24"/>
        </w:rPr>
        <w:t>植物的日常及施肥费用，肥料的质量以及数量由甲方控制、审核使用。植物病虫害防治工作费用，使用的药剂质量、数量由甲方控制、审核使用。</w:t>
      </w:r>
    </w:p>
    <w:p>
      <w:pPr>
        <w:spacing w:line="360" w:lineRule="auto"/>
        <w:ind w:firstLine="480" w:firstLineChars="200"/>
        <w:jc w:val="both"/>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w:t>
      </w:r>
      <w:r>
        <w:rPr>
          <w:rFonts w:hint="eastAsia" w:asciiTheme="minorEastAsia" w:hAnsiTheme="minorEastAsia" w:eastAsiaTheme="minorEastAsia" w:cstheme="minorEastAsia"/>
          <w:color w:val="000000" w:themeColor="text1"/>
          <w:sz w:val="24"/>
          <w:szCs w:val="24"/>
          <w:lang w:val="en-US"/>
        </w:rPr>
        <w:t xml:space="preserve">6 </w:t>
      </w:r>
      <w:r>
        <w:rPr>
          <w:rFonts w:hint="eastAsia" w:asciiTheme="minorEastAsia" w:hAnsiTheme="minorEastAsia" w:eastAsiaTheme="minorEastAsia" w:cstheme="minorEastAsia"/>
          <w:color w:val="000000" w:themeColor="text1"/>
          <w:sz w:val="24"/>
          <w:szCs w:val="24"/>
        </w:rPr>
        <w:t>针对节假日、极端天气等有对应的值班计划和绿化风险应急预案。</w:t>
      </w:r>
    </w:p>
    <w:p>
      <w:pPr>
        <w:jc w:val="both"/>
        <w:rPr>
          <w:color w:val="000000" w:themeColor="text1"/>
          <w:w w:val="105"/>
          <w:sz w:val="24"/>
          <w:szCs w:val="24"/>
        </w:rPr>
      </w:pPr>
      <w:r>
        <w:rPr>
          <w:rFonts w:hint="eastAsia"/>
          <w:color w:val="000000" w:themeColor="text1"/>
          <w:w w:val="105"/>
          <w:sz w:val="24"/>
          <w:szCs w:val="24"/>
        </w:rPr>
        <w:br w:type="page"/>
      </w:r>
    </w:p>
    <w:p>
      <w:pPr>
        <w:pStyle w:val="3"/>
        <w:spacing w:line="360" w:lineRule="auto"/>
        <w:ind w:left="0" w:firstLine="0"/>
        <w:jc w:val="both"/>
        <w:rPr>
          <w:color w:val="000000" w:themeColor="text1"/>
          <w:sz w:val="24"/>
          <w:szCs w:val="24"/>
        </w:rPr>
      </w:pPr>
      <w:r>
        <w:rPr>
          <w:rFonts w:hint="eastAsia"/>
          <w:color w:val="000000" w:themeColor="text1"/>
          <w:w w:val="105"/>
          <w:sz w:val="24"/>
          <w:szCs w:val="24"/>
        </w:rPr>
        <w:t>附件三、</w:t>
      </w:r>
      <w:r>
        <w:rPr>
          <w:rFonts w:hint="eastAsia"/>
          <w:color w:val="000000" w:themeColor="text1"/>
          <w:sz w:val="24"/>
          <w:szCs w:val="24"/>
        </w:rPr>
        <w:t>上海龙华烈士陵园绿化养护标准</w:t>
      </w:r>
    </w:p>
    <w:p>
      <w:pPr>
        <w:pStyle w:val="9"/>
        <w:spacing w:line="360" w:lineRule="auto"/>
        <w:ind w:firstLine="480" w:firstLineChars="200"/>
        <w:jc w:val="both"/>
        <w:rPr>
          <w:color w:val="000000" w:themeColor="text1"/>
          <w:sz w:val="24"/>
          <w:szCs w:val="24"/>
        </w:rPr>
      </w:pPr>
    </w:p>
    <w:p>
      <w:pPr>
        <w:pStyle w:val="3"/>
        <w:spacing w:line="360" w:lineRule="auto"/>
        <w:ind w:left="0" w:firstLine="480" w:firstLineChars="200"/>
        <w:jc w:val="center"/>
        <w:rPr>
          <w:color w:val="000000" w:themeColor="text1"/>
          <w:sz w:val="24"/>
          <w:szCs w:val="24"/>
        </w:rPr>
      </w:pPr>
      <w:r>
        <w:rPr>
          <w:rFonts w:hint="eastAsia"/>
          <w:color w:val="000000" w:themeColor="text1"/>
          <w:sz w:val="24"/>
          <w:szCs w:val="24"/>
        </w:rPr>
        <w:t>上海龙华烈士陵园绿化养护标准</w:t>
      </w:r>
    </w:p>
    <w:p>
      <w:pPr>
        <w:pStyle w:val="3"/>
        <w:spacing w:before="240" w:beforeLines="100" w:after="240" w:afterLines="100" w:line="360" w:lineRule="auto"/>
        <w:ind w:left="0" w:firstLine="482" w:firstLineChars="200"/>
        <w:jc w:val="center"/>
        <w:rPr>
          <w:b/>
          <w:bCs/>
          <w:color w:val="000000" w:themeColor="text1"/>
          <w:sz w:val="24"/>
          <w:szCs w:val="24"/>
        </w:rPr>
      </w:pPr>
      <w:r>
        <w:rPr>
          <w:rFonts w:hint="eastAsia"/>
          <w:b/>
          <w:bCs/>
          <w:color w:val="000000" w:themeColor="text1"/>
          <w:sz w:val="24"/>
          <w:szCs w:val="24"/>
        </w:rPr>
        <w:t>1 总则</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1.1 </w:t>
      </w:r>
      <w:r>
        <w:rPr>
          <w:rFonts w:hint="eastAsia"/>
          <w:color w:val="000000" w:themeColor="text1"/>
          <w:w w:val="105"/>
          <w:sz w:val="24"/>
          <w:szCs w:val="24"/>
        </w:rPr>
        <w:t>上海市龙华烈士陵园负责园区绿化养护管理，现场养护单位作业必须服从管理。</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1.2 </w:t>
      </w:r>
      <w:r>
        <w:rPr>
          <w:rFonts w:hint="eastAsia"/>
          <w:color w:val="000000" w:themeColor="text1"/>
          <w:w w:val="105"/>
          <w:sz w:val="24"/>
          <w:szCs w:val="24"/>
        </w:rPr>
        <w:t>本养护标准适用于上海市龙华烈士陵园内，由甲乙双方共同执行，应满足园区内部的绿化养护定期考核要求。</w:t>
      </w:r>
    </w:p>
    <w:p>
      <w:pPr>
        <w:pStyle w:val="3"/>
        <w:tabs>
          <w:tab w:val="left" w:pos="5115"/>
        </w:tabs>
        <w:spacing w:before="240" w:beforeLines="100" w:after="240" w:afterLines="100" w:line="360" w:lineRule="auto"/>
        <w:ind w:left="476" w:firstLine="0"/>
        <w:jc w:val="center"/>
        <w:rPr>
          <w:color w:val="000000" w:themeColor="text1"/>
          <w:sz w:val="24"/>
          <w:szCs w:val="24"/>
        </w:rPr>
      </w:pPr>
      <w:r>
        <w:rPr>
          <w:rFonts w:hint="eastAsia"/>
          <w:b/>
          <w:bCs/>
          <w:color w:val="000000" w:themeColor="text1"/>
          <w:sz w:val="24"/>
          <w:szCs w:val="24"/>
          <w:lang w:val="en-US"/>
        </w:rPr>
        <w:t xml:space="preserve">2 </w:t>
      </w:r>
      <w:r>
        <w:rPr>
          <w:rFonts w:hint="eastAsia"/>
          <w:b/>
          <w:bCs/>
          <w:color w:val="000000" w:themeColor="text1"/>
          <w:sz w:val="24"/>
          <w:szCs w:val="24"/>
        </w:rPr>
        <w:t>景观面貌</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2.1 </w:t>
      </w:r>
      <w:r>
        <w:rPr>
          <w:rFonts w:hint="eastAsia"/>
          <w:color w:val="000000" w:themeColor="text1"/>
          <w:w w:val="105"/>
          <w:sz w:val="24"/>
          <w:szCs w:val="24"/>
        </w:rPr>
        <w:t>乔木</w:t>
      </w:r>
    </w:p>
    <w:p>
      <w:pPr>
        <w:pStyle w:val="22"/>
        <w:tabs>
          <w:tab w:val="left" w:pos="839"/>
        </w:tabs>
        <w:spacing w:line="360" w:lineRule="auto"/>
        <w:ind w:left="440" w:leftChars="200" w:firstLine="504" w:firstLineChars="200"/>
        <w:jc w:val="both"/>
        <w:rPr>
          <w:color w:val="000000" w:themeColor="text1"/>
          <w:sz w:val="24"/>
          <w:szCs w:val="24"/>
          <w:lang w:val="en-US"/>
        </w:rPr>
      </w:pPr>
      <w:r>
        <w:rPr>
          <w:rFonts w:hint="eastAsia"/>
          <w:color w:val="000000" w:themeColor="text1"/>
          <w:w w:val="105"/>
          <w:sz w:val="24"/>
          <w:szCs w:val="24"/>
        </w:rPr>
        <w:t>枝条分布均匀，疏密度合适；无明显枯枝；主干无萌蘖枝；无明显的病虫害危害症状；无倾斜、倒伏植株；</w:t>
      </w:r>
      <w:r>
        <w:rPr>
          <w:rFonts w:hint="eastAsia"/>
          <w:color w:val="000000" w:themeColor="text1"/>
          <w:sz w:val="24"/>
          <w:szCs w:val="24"/>
        </w:rPr>
        <w:t>无黄化现象；无死亡植株。</w:t>
      </w:r>
      <w:r>
        <w:rPr>
          <w:rFonts w:hint="eastAsia"/>
          <w:color w:val="000000" w:themeColor="text1"/>
          <w:sz w:val="24"/>
          <w:szCs w:val="24"/>
          <w:lang w:val="en-US"/>
        </w:rPr>
        <w:t>例如：</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2.1.1 </w:t>
      </w:r>
      <w:r>
        <w:rPr>
          <w:rFonts w:hint="eastAsia"/>
          <w:color w:val="000000" w:themeColor="text1"/>
          <w:w w:val="105"/>
          <w:sz w:val="24"/>
          <w:szCs w:val="24"/>
        </w:rPr>
        <w:t>悬铃木：生长管理期间一般不做特别的浇水措施，如果夏季碰到持续高温干旱超过7天以上，需做附加浇水。剥芽一般安排在5月初至6月中旬，第一次需要将悬铃木自身不好的芽全部剥除，分叉枝上的芽要清理干净，保留健壮并有指定方向的芽，大约留3-4个芽；第二次剥芽工作在第一次基础上进行，留2-3个芽作为各个骨架枝的培养。夏季来临期间结合防台防汛来进行进行悬铃木的疏枝工作，疏枝时不得修剪骨架枝。施肥的工作一般安排在冬季进行深根施肥。</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2.1.2 </w:t>
      </w:r>
      <w:r>
        <w:rPr>
          <w:rFonts w:hint="eastAsia"/>
          <w:color w:val="000000" w:themeColor="text1"/>
          <w:w w:val="105"/>
          <w:sz w:val="24"/>
          <w:szCs w:val="24"/>
        </w:rPr>
        <w:t>雪松：浇水不宜过多，修剪枯枝、病枝。</w:t>
      </w:r>
      <w:r>
        <w:rPr>
          <w:rFonts w:hint="eastAsia"/>
          <w:color w:val="000000" w:themeColor="text1"/>
          <w:sz w:val="24"/>
          <w:szCs w:val="24"/>
        </w:rPr>
        <w:t>注意防涝和抗旱。</w:t>
      </w:r>
      <w:r>
        <w:rPr>
          <w:rFonts w:hint="eastAsia"/>
          <w:color w:val="000000" w:themeColor="text1"/>
          <w:w w:val="105"/>
          <w:sz w:val="24"/>
          <w:szCs w:val="24"/>
        </w:rPr>
        <w:t>越冬期间喷涂石硫合剂，2月开始密切关注蚜虫、红蜘蛛等虫害情况，视天气及温度情况，3月开始喷洒杀虫剂，做到及早预防。对往年留下的虫害采用逐步防治，在不伤害绿植本身的情况下，逐步喷洒相关试剂。</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2.1.3 </w:t>
      </w:r>
      <w:r>
        <w:rPr>
          <w:rFonts w:hint="eastAsia"/>
          <w:color w:val="000000" w:themeColor="text1"/>
          <w:w w:val="105"/>
          <w:sz w:val="24"/>
          <w:szCs w:val="24"/>
        </w:rPr>
        <w:t>广玉兰：及时修剪清理枯枝黄叶，9-10月施肥。10-11月进行整体修剪，去除密集枝、杂乱枝、虫害枝等，修剪需保持整体树形，不能影响景观，同时要保证一定透光及透风性。春秋两季施肥。</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2.1.4 </w:t>
      </w:r>
      <w:r>
        <w:rPr>
          <w:rFonts w:hint="eastAsia"/>
          <w:color w:val="000000" w:themeColor="text1"/>
          <w:w w:val="105"/>
          <w:sz w:val="24"/>
          <w:szCs w:val="24"/>
        </w:rPr>
        <w:t>银杏：夏季高温</w:t>
      </w:r>
      <w:r>
        <w:rPr>
          <w:rFonts w:hint="eastAsia"/>
          <w:color w:val="000000" w:themeColor="text1"/>
          <w:sz w:val="24"/>
          <w:szCs w:val="24"/>
        </w:rPr>
        <w:t>注意防涝和抗旱。</w:t>
      </w:r>
      <w:r>
        <w:rPr>
          <w:rFonts w:hint="eastAsia"/>
          <w:color w:val="000000" w:themeColor="text1"/>
          <w:w w:val="105"/>
          <w:sz w:val="24"/>
          <w:szCs w:val="24"/>
        </w:rPr>
        <w:t>冬季进行松培土以及简单的修剪，去除弱枝、病枝、枯枝。同时注意观察叶枯病、卷叶蛾等病虫害，喷洒不同药剂。</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2.1.5 </w:t>
      </w:r>
      <w:r>
        <w:rPr>
          <w:rFonts w:hint="eastAsia"/>
          <w:color w:val="000000" w:themeColor="text1"/>
          <w:w w:val="105"/>
          <w:sz w:val="24"/>
          <w:szCs w:val="24"/>
        </w:rPr>
        <w:t>浙江楠和紫楠：4月进行蛀梢象鼻虫和灰毛金花虫的预防，整个夏季做好防涝抗旱工作，极高温天气通过早晚喷洒水对植株进行物理降温处理；秋末冬初处理树穴，表土追施有机肥并进行松土，初春通过穴施的形式追施缓释复合肥，提供全年的养分需求，促进枝叶生长；秋末冬初浇灌微生物有益菌和促新根生长药剂，以增强冬季的抗寒能力；寒潮到来前做好防寒准备，一是树穴表面通过覆盖草包的形式做好根部的保暖工作，二是准备好草包材料，在遭遇极寒天气时对树杆部分进行草包包扎，给其穿衣保暖。</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2.1.6 </w:t>
      </w:r>
      <w:r>
        <w:rPr>
          <w:rFonts w:hint="eastAsia"/>
          <w:color w:val="000000" w:themeColor="text1"/>
          <w:w w:val="105"/>
          <w:sz w:val="24"/>
          <w:szCs w:val="24"/>
        </w:rPr>
        <w:t>红叶李：梅雨季节注意排水。4月-9月注重虫害养护，红叶李的主要虫害有蚜虫、红蜘蛛、金龟子、刺蛾、夜蛾、大蓑蛾和介壳虫，根据不同虫害，喷洒不同药剂。秋季施肥要以磷钾肥为主，并进行整体修剪，1.2-1.5米处喷涂抹透明防护剂，做到涂布均匀，保证越冬。</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2.1.7 </w:t>
      </w:r>
      <w:r>
        <w:rPr>
          <w:rFonts w:hint="eastAsia"/>
          <w:color w:val="000000" w:themeColor="text1"/>
          <w:w w:val="105"/>
          <w:sz w:val="24"/>
          <w:szCs w:val="24"/>
        </w:rPr>
        <w:t>桃树：3月开始进行流胶病防治，包括但不仅限于刮除流胶、涂抹杀菌剂，之后随发现随涂抹；5月-6月上旬，8-9月上旬视桃树现场情况，进行3-4次喷涂杀菌剂；12月（彻底落叶后）喷涂杀菌剂。3-5月虫害防治，包括但不仅限于涂抹杀菌剂幼虫防治，液塞入蛀孔，钩杀成虫天牛等。2-3月（开花前）施肥，6月落花出果初期进行打果。新种植桃树不能携带虫害病害。</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2.1.8 </w:t>
      </w:r>
      <w:r>
        <w:rPr>
          <w:rFonts w:hint="eastAsia"/>
          <w:color w:val="000000" w:themeColor="text1"/>
          <w:w w:val="105"/>
          <w:sz w:val="24"/>
          <w:szCs w:val="24"/>
        </w:rPr>
        <w:t>铁树：及时清除杂生小苗；冬前修剪，要剪掉靠近根部的老叶枯叶，温度达0℃前一周将叶片收拢捆扎，包以草垫保护避免冻伤，待春天温度回升后撤掉。</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 xml:space="preserve">2.1.9 </w:t>
      </w:r>
      <w:r>
        <w:rPr>
          <w:rFonts w:hint="eastAsia"/>
          <w:color w:val="000000" w:themeColor="text1"/>
          <w:w w:val="105"/>
          <w:sz w:val="24"/>
          <w:szCs w:val="24"/>
        </w:rPr>
        <w:t>龙柏：龙柏修剪必须使用不锈钢材质的工具，以防出现刺化，使用工具大小根据修剪需要而定。浇水不宜过多，视土壤情况而定。春季施肥，不可过多，秋季追肥。注意观察红蜘蛛情况，一旦出现，及时用药，随发现随用。</w:t>
      </w:r>
    </w:p>
    <w:p>
      <w:pPr>
        <w:pStyle w:val="22"/>
        <w:tabs>
          <w:tab w:val="left" w:pos="839"/>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2.2 古树名木</w:t>
      </w:r>
    </w:p>
    <w:p>
      <w:pPr>
        <w:pStyle w:val="22"/>
        <w:tabs>
          <w:tab w:val="left" w:pos="839"/>
        </w:tabs>
        <w:spacing w:line="360" w:lineRule="auto"/>
        <w:ind w:left="440" w:leftChars="200" w:firstLine="504" w:firstLineChars="200"/>
        <w:jc w:val="both"/>
        <w:rPr>
          <w:color w:val="FF0000"/>
          <w:w w:val="105"/>
          <w:sz w:val="24"/>
          <w:szCs w:val="24"/>
          <w:lang w:val="en-US"/>
        </w:rPr>
      </w:pPr>
      <w:r>
        <w:rPr>
          <w:rFonts w:hint="eastAsia"/>
          <w:color w:val="000000" w:themeColor="text1"/>
          <w:w w:val="105"/>
          <w:sz w:val="24"/>
          <w:szCs w:val="24"/>
          <w:lang w:val="en-US"/>
        </w:rPr>
        <w:t xml:space="preserve">古树名木的养护工作安排专人负责，并如实记录古树名木养护表单。古树名木应进行重点保护，不利古树名木生长的立地条件必须及时改善,腐烂的部位应进行防腐去腐治疗,并保持其古老苍劲的形态。古树名木易受蛀虫危害,一旦发现应及时采取切实可行的措施进行防治。生长日趋衰弱的古树名木,应组织有关人员制定复壮措施,并指定专人负责养护。发生倾斜的古树应及时予以支撑,防止倒伏,并注意美观。 </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2.3 </w:t>
      </w:r>
      <w:r>
        <w:rPr>
          <w:rFonts w:hint="eastAsia"/>
          <w:color w:val="000000" w:themeColor="text1"/>
          <w:w w:val="105"/>
          <w:sz w:val="24"/>
          <w:szCs w:val="24"/>
        </w:rPr>
        <w:t>灌木</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2.3.1 </w:t>
      </w:r>
      <w:r>
        <w:rPr>
          <w:rFonts w:hint="eastAsia"/>
          <w:color w:val="000000" w:themeColor="text1"/>
          <w:w w:val="105"/>
          <w:sz w:val="24"/>
          <w:szCs w:val="24"/>
        </w:rPr>
        <w:t>花灌木</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花期和果期正常，一致性高；株型完整饱满，无明显偏冠、空缺；无明显病虫害危害症状；</w:t>
      </w:r>
      <w:r>
        <w:rPr>
          <w:rFonts w:hint="eastAsia"/>
          <w:color w:val="000000" w:themeColor="text1"/>
          <w:sz w:val="24"/>
          <w:szCs w:val="24"/>
        </w:rPr>
        <w:t>无残花，无徒长枝；无倾斜、倒伏植株；</w:t>
      </w:r>
      <w:r>
        <w:rPr>
          <w:rFonts w:hint="eastAsia"/>
          <w:color w:val="000000" w:themeColor="text1"/>
          <w:w w:val="105"/>
          <w:sz w:val="24"/>
          <w:szCs w:val="24"/>
        </w:rPr>
        <w:t>无死亡植株。</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2.3.2 </w:t>
      </w:r>
      <w:r>
        <w:rPr>
          <w:rFonts w:hint="eastAsia"/>
          <w:color w:val="000000" w:themeColor="text1"/>
          <w:w w:val="105"/>
          <w:sz w:val="24"/>
          <w:szCs w:val="24"/>
        </w:rPr>
        <w:t>片植灌木</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植株整体高度基本一致，无高低落差超过10厘米的现象；片植灌木丛内无杂物（砖块、塑料、纸张等）；无明显枯枝；无缺株、死亡植株；无明显的病虫害危害症状。</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2.3.3 </w:t>
      </w:r>
      <w:r>
        <w:rPr>
          <w:rFonts w:hint="eastAsia"/>
          <w:color w:val="000000" w:themeColor="text1"/>
          <w:w w:val="105"/>
          <w:sz w:val="24"/>
          <w:szCs w:val="24"/>
        </w:rPr>
        <w:t>整形灌木</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表面平整，无漏洞，无缺刻；平面型绿篱三面平整，直线处笔直，球、弧型绿篱球形圆整、弧面圆润；无缺失、死亡植株；无明显的病虫害危害症。</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2.4 </w:t>
      </w:r>
      <w:r>
        <w:rPr>
          <w:rFonts w:hint="eastAsia"/>
          <w:color w:val="000000" w:themeColor="text1"/>
          <w:w w:val="105"/>
          <w:sz w:val="24"/>
          <w:szCs w:val="24"/>
        </w:rPr>
        <w:t>地被</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生长季覆盖率高，黄土不裸露；花期正常，一致性高，同一品种花期间隔不超过5天；生长季无空秃、死亡植株；</w:t>
      </w:r>
      <w:r>
        <w:rPr>
          <w:rFonts w:hint="eastAsia"/>
          <w:color w:val="000000" w:themeColor="text1"/>
          <w:sz w:val="24"/>
          <w:szCs w:val="24"/>
        </w:rPr>
        <w:t>无残花，无黄叶、枯叶；无超过地被高度的杂草；</w:t>
      </w:r>
      <w:r>
        <w:rPr>
          <w:rFonts w:hint="eastAsia"/>
          <w:color w:val="000000" w:themeColor="text1"/>
          <w:w w:val="105"/>
          <w:sz w:val="24"/>
          <w:szCs w:val="24"/>
        </w:rPr>
        <w:t>无明显的病虫害危害症状。</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2.5 </w:t>
      </w:r>
      <w:r>
        <w:rPr>
          <w:rFonts w:hint="eastAsia"/>
          <w:color w:val="000000" w:themeColor="text1"/>
          <w:w w:val="105"/>
          <w:sz w:val="24"/>
          <w:szCs w:val="24"/>
        </w:rPr>
        <w:t>草坪</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色泽正常，高度一致，生长期无发黄现象；边缘清晰整齐，无生长至硬质景观上的现象发生；无双子叶杂草，无明显的单子叶杂草发生；无草屑残留，无明显枯枝、落叶覆盖；无明显的病虫害危害症状；无空秃超过0.5m</w:t>
      </w:r>
      <w:r>
        <w:rPr>
          <w:rFonts w:hint="eastAsia"/>
          <w:color w:val="000000" w:themeColor="text1"/>
          <w:w w:val="105"/>
          <w:sz w:val="24"/>
          <w:szCs w:val="24"/>
          <w:vertAlign w:val="superscript"/>
        </w:rPr>
        <w:t>2</w:t>
      </w:r>
      <w:r>
        <w:rPr>
          <w:rFonts w:hint="eastAsia"/>
          <w:color w:val="000000" w:themeColor="text1"/>
          <w:w w:val="105"/>
          <w:sz w:val="24"/>
          <w:szCs w:val="24"/>
        </w:rPr>
        <w:t>的现象。</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6</w:t>
      </w:r>
      <w:r>
        <w:rPr>
          <w:rFonts w:hint="eastAsia"/>
          <w:color w:val="000000" w:themeColor="text1"/>
          <w:w w:val="105"/>
          <w:sz w:val="24"/>
          <w:szCs w:val="24"/>
          <w:lang w:val="en-US"/>
        </w:rPr>
        <w:t xml:space="preserve"> </w:t>
      </w:r>
      <w:r>
        <w:rPr>
          <w:rFonts w:hint="eastAsia"/>
          <w:color w:val="000000" w:themeColor="text1"/>
          <w:w w:val="105"/>
          <w:sz w:val="24"/>
          <w:szCs w:val="24"/>
        </w:rPr>
        <w:t>竹类</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无倒伏和倾斜超过45度的植株；新老更新及时，无大量衰老植株；色泽干净、无霉污；地下茎无穿插到种植区域之外的现象；无明显的病虫害危害症状。</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7</w:t>
      </w:r>
      <w:r>
        <w:rPr>
          <w:rFonts w:hint="eastAsia"/>
          <w:color w:val="000000" w:themeColor="text1"/>
          <w:w w:val="105"/>
          <w:sz w:val="24"/>
          <w:szCs w:val="24"/>
          <w:lang w:val="en-US"/>
        </w:rPr>
        <w:t xml:space="preserve"> </w:t>
      </w:r>
      <w:r>
        <w:rPr>
          <w:rFonts w:hint="eastAsia"/>
          <w:color w:val="000000" w:themeColor="text1"/>
          <w:w w:val="105"/>
          <w:sz w:val="24"/>
          <w:szCs w:val="24"/>
        </w:rPr>
        <w:t>攀援植物</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rPr>
        <w:t>及时修剪，无悬挂的枯枝，无枯叶堆积；无下垂影响到交通的枝条；牵引有序；无明显的病虫害危害症状。</w:t>
      </w:r>
    </w:p>
    <w:p>
      <w:pPr>
        <w:pStyle w:val="22"/>
        <w:tabs>
          <w:tab w:val="left" w:pos="839"/>
        </w:tabs>
        <w:spacing w:line="360" w:lineRule="auto"/>
        <w:ind w:left="0" w:firstLine="1008" w:firstLineChars="4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8</w:t>
      </w:r>
      <w:r>
        <w:rPr>
          <w:rFonts w:hint="eastAsia"/>
          <w:color w:val="000000" w:themeColor="text1"/>
          <w:w w:val="105"/>
          <w:sz w:val="24"/>
          <w:szCs w:val="24"/>
          <w:lang w:val="en-US"/>
        </w:rPr>
        <w:t xml:space="preserve"> </w:t>
      </w:r>
      <w:r>
        <w:rPr>
          <w:rFonts w:hint="eastAsia"/>
          <w:color w:val="000000" w:themeColor="text1"/>
          <w:w w:val="105"/>
          <w:sz w:val="24"/>
          <w:szCs w:val="24"/>
        </w:rPr>
        <w:t>水生植物</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无残花、黄叶、枯叶；无折断、倒伏植株；无杂草和其他外来水生植物；更新及时，梳理、控制得当，无相互挤压现象；无明显的病虫害危害症状。</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9</w:t>
      </w:r>
      <w:r>
        <w:rPr>
          <w:rFonts w:hint="eastAsia"/>
          <w:color w:val="000000" w:themeColor="text1"/>
          <w:w w:val="105"/>
          <w:sz w:val="24"/>
          <w:szCs w:val="24"/>
          <w:lang w:val="en-US"/>
        </w:rPr>
        <w:t xml:space="preserve"> </w:t>
      </w:r>
      <w:r>
        <w:rPr>
          <w:rFonts w:hint="eastAsia"/>
          <w:color w:val="000000" w:themeColor="text1"/>
          <w:w w:val="105"/>
          <w:sz w:val="24"/>
          <w:szCs w:val="24"/>
        </w:rPr>
        <w:t>水面保洁</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rPr>
        <w:t>水面干净，水域内无生活垃圾；岸边无明显的修剪后的植物残留物；岸边无大型建筑垃圾和其他杂物。</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10</w:t>
      </w:r>
      <w:r>
        <w:rPr>
          <w:rFonts w:hint="eastAsia"/>
          <w:color w:val="000000" w:themeColor="text1"/>
          <w:w w:val="105"/>
          <w:sz w:val="24"/>
          <w:szCs w:val="24"/>
          <w:lang w:val="en-US"/>
        </w:rPr>
        <w:t xml:space="preserve"> </w:t>
      </w:r>
      <w:r>
        <w:rPr>
          <w:rFonts w:hint="eastAsia"/>
          <w:color w:val="000000" w:themeColor="text1"/>
          <w:w w:val="105"/>
          <w:sz w:val="24"/>
          <w:szCs w:val="24"/>
        </w:rPr>
        <w:t>树穴</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树穴大小适度，形状圆整，覆土厚度在植株最表层根系上的5cm以内；表面无杂草、草根、石块和其他杂物；表面土壤粒径不超过2cm；切边宽度、深度不超过5cm；树穴范围内无积水。</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11</w:t>
      </w:r>
      <w:r>
        <w:rPr>
          <w:rFonts w:hint="eastAsia"/>
          <w:color w:val="000000" w:themeColor="text1"/>
          <w:w w:val="105"/>
          <w:sz w:val="24"/>
          <w:szCs w:val="24"/>
          <w:lang w:val="en-US"/>
        </w:rPr>
        <w:t xml:space="preserve"> </w:t>
      </w:r>
      <w:r>
        <w:rPr>
          <w:rFonts w:hint="eastAsia"/>
          <w:color w:val="000000" w:themeColor="text1"/>
          <w:w w:val="105"/>
          <w:sz w:val="24"/>
          <w:szCs w:val="24"/>
        </w:rPr>
        <w:t>林缘线</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线条清晰、整齐、流畅；切边宽度、深度不超过5cm；林缘线内无杂草、无积水、无杂物。</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2.</w:t>
      </w:r>
      <w:r>
        <w:rPr>
          <w:color w:val="000000" w:themeColor="text1"/>
          <w:w w:val="105"/>
          <w:sz w:val="24"/>
          <w:szCs w:val="24"/>
          <w:lang w:val="en-US"/>
        </w:rPr>
        <w:t xml:space="preserve">12 </w:t>
      </w:r>
      <w:r>
        <w:rPr>
          <w:rFonts w:hint="eastAsia"/>
          <w:color w:val="000000" w:themeColor="text1"/>
          <w:w w:val="105"/>
          <w:sz w:val="24"/>
          <w:szCs w:val="24"/>
        </w:rPr>
        <w:t>山体</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道路整洁，道路及周边无生活垃圾；无大量的枯枝落叶堆积；道路两边3米内无悬挂的大型枯枝和其他悬挂物；警示牌和各种标示标牌无植物遮挡。</w:t>
      </w:r>
    </w:p>
    <w:p>
      <w:pPr>
        <w:pStyle w:val="3"/>
        <w:tabs>
          <w:tab w:val="left" w:pos="5115"/>
        </w:tabs>
        <w:spacing w:before="240" w:beforeLines="100" w:after="240" w:afterLines="100" w:line="360" w:lineRule="auto"/>
        <w:ind w:left="440" w:leftChars="200" w:firstLine="3855" w:firstLineChars="1600"/>
        <w:jc w:val="both"/>
        <w:rPr>
          <w:b/>
          <w:bCs/>
          <w:color w:val="000000" w:themeColor="text1"/>
          <w:sz w:val="24"/>
          <w:szCs w:val="24"/>
        </w:rPr>
      </w:pPr>
      <w:r>
        <w:rPr>
          <w:rFonts w:hint="eastAsia"/>
          <w:b/>
          <w:bCs/>
          <w:color w:val="000000" w:themeColor="text1"/>
          <w:sz w:val="24"/>
          <w:szCs w:val="24"/>
        </w:rPr>
        <w:t>3 技术措施</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3.1 </w:t>
      </w:r>
      <w:r>
        <w:rPr>
          <w:rFonts w:hint="eastAsia"/>
          <w:color w:val="000000" w:themeColor="text1"/>
          <w:w w:val="105"/>
          <w:sz w:val="24"/>
          <w:szCs w:val="24"/>
        </w:rPr>
        <w:t>松土</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裸露地土壤必须保持疏松；地被植物和小型灌木丛松土须用小型锄头，避免伤害植物；灌溉后、雨后、被踩踏后必须及时松土。</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3.2 </w:t>
      </w:r>
      <w:r>
        <w:rPr>
          <w:rFonts w:hint="eastAsia"/>
          <w:color w:val="000000" w:themeColor="text1"/>
          <w:w w:val="105"/>
          <w:sz w:val="24"/>
          <w:szCs w:val="24"/>
        </w:rPr>
        <w:t>杂草清除</w:t>
      </w:r>
    </w:p>
    <w:p>
      <w:pPr>
        <w:pStyle w:val="22"/>
        <w:tabs>
          <w:tab w:val="left" w:pos="839"/>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rPr>
        <w:t>及时清除杂草，必须连根拔除或挑除；作业时小心谨慎，避免伤害到植物；有地被等植物的种植区，作业时严禁坐在小凳子上操作；作业后产生的坑洼及时整平；全园禁止使用化学除草剂。</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3.3 </w:t>
      </w:r>
      <w:r>
        <w:rPr>
          <w:rFonts w:hint="eastAsia"/>
          <w:color w:val="000000" w:themeColor="text1"/>
          <w:w w:val="105"/>
          <w:sz w:val="24"/>
          <w:szCs w:val="24"/>
        </w:rPr>
        <w:t>施肥</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3.3.1 </w:t>
      </w:r>
      <w:r>
        <w:rPr>
          <w:rFonts w:hint="eastAsia"/>
          <w:color w:val="000000" w:themeColor="text1"/>
          <w:w w:val="105"/>
          <w:sz w:val="24"/>
          <w:szCs w:val="24"/>
        </w:rPr>
        <w:t>叶面肥</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根据植物生长要求，每年对植物喷施2次以上叶面肥；叶面肥以氮肥为主，合理施肥；肥料要在水中充分溶解后进行喷施；施肥时要喷洒到位，叶面和叶背均要淋到。</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3.3.2 </w:t>
      </w:r>
      <w:r>
        <w:rPr>
          <w:rFonts w:hint="eastAsia"/>
          <w:color w:val="000000" w:themeColor="text1"/>
          <w:w w:val="105"/>
          <w:sz w:val="24"/>
          <w:szCs w:val="24"/>
        </w:rPr>
        <w:t>生长期复合肥</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施肥时间在5月中下旬；乔灌木施在树冠垂直投影外围，按比例挖深约20cm洞把复合肥平均埋入，平均用量为0.5kg/株；片植型灌木、地被以撒施颗粒复合肥为主，用量为10g/m</w:t>
      </w:r>
      <w:r>
        <w:rPr>
          <w:color w:val="000000" w:themeColor="text1"/>
          <w:w w:val="105"/>
          <w:sz w:val="24"/>
          <w:szCs w:val="24"/>
          <w:vertAlign w:val="superscript"/>
        </w:rPr>
        <w:t>2</w:t>
      </w:r>
      <w:r>
        <w:rPr>
          <w:rFonts w:hint="eastAsia"/>
          <w:color w:val="000000" w:themeColor="text1"/>
          <w:spacing w:val="-1"/>
          <w:w w:val="105"/>
          <w:sz w:val="24"/>
          <w:szCs w:val="24"/>
        </w:rPr>
        <w:t>，撒施复合肥前要确认土壤处于湿润的状态，且撒在植株的株行距间，严禁</w:t>
      </w:r>
      <w:r>
        <w:rPr>
          <w:rFonts w:hint="eastAsia"/>
          <w:color w:val="000000" w:themeColor="text1"/>
          <w:w w:val="105"/>
          <w:sz w:val="24"/>
          <w:szCs w:val="24"/>
        </w:rPr>
        <w:t>株叶片上复合肥选用40%的中浓度产品。</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3.3.3 </w:t>
      </w:r>
      <w:r>
        <w:rPr>
          <w:rFonts w:hint="eastAsia"/>
          <w:color w:val="000000" w:themeColor="text1"/>
          <w:w w:val="105"/>
          <w:sz w:val="24"/>
          <w:szCs w:val="24"/>
        </w:rPr>
        <w:t>基肥</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植物在冬季休眠后至冰冻前施一次基肥，基肥需用腐熟的有机肥；乔灌木施肥范围在树冠垂直投影外围，开环状或半环状沟，深度30cm，平均用量为50kg/株；片植灌木、地被用量为5kg/m</w:t>
      </w:r>
      <w:r>
        <w:rPr>
          <w:color w:val="000000" w:themeColor="text1"/>
          <w:w w:val="105"/>
          <w:sz w:val="24"/>
          <w:szCs w:val="24"/>
          <w:vertAlign w:val="superscript"/>
        </w:rPr>
        <w:t>2</w:t>
      </w:r>
      <w:r>
        <w:rPr>
          <w:rFonts w:hint="eastAsia"/>
          <w:color w:val="000000" w:themeColor="text1"/>
          <w:w w:val="105"/>
          <w:sz w:val="24"/>
          <w:szCs w:val="24"/>
        </w:rPr>
        <w:t>，有条件的区域开小型沟穴埋入，其他的可撒施表面。</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3.3.4 </w:t>
      </w:r>
      <w:r>
        <w:rPr>
          <w:rFonts w:hint="eastAsia"/>
          <w:color w:val="000000" w:themeColor="text1"/>
          <w:w w:val="105"/>
          <w:sz w:val="24"/>
          <w:szCs w:val="24"/>
        </w:rPr>
        <w:t>草坪施肥</w:t>
      </w:r>
    </w:p>
    <w:p>
      <w:pPr>
        <w:pStyle w:val="22"/>
        <w:tabs>
          <w:tab w:val="left" w:pos="983"/>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暖季型草坪每年施肥3次，4-5月一次，6月底一次，9月一次，4-5月使用速效氮肥，6、9月使用缓释氮肥，用量5克/m</w:t>
      </w:r>
      <w:r>
        <w:rPr>
          <w:rFonts w:hint="eastAsia"/>
          <w:color w:val="000000" w:themeColor="text1"/>
          <w:w w:val="105"/>
          <w:sz w:val="24"/>
          <w:szCs w:val="24"/>
          <w:vertAlign w:val="superscript"/>
          <w:lang w:val="en-US"/>
        </w:rPr>
        <w:t>2</w:t>
      </w:r>
      <w:r>
        <w:rPr>
          <w:rFonts w:hint="eastAsia"/>
          <w:color w:val="000000" w:themeColor="text1"/>
          <w:w w:val="105"/>
          <w:sz w:val="24"/>
          <w:szCs w:val="24"/>
        </w:rPr>
        <w:t>；冷季型草坪展叶后施2次氮肥，用量5克/m</w:t>
      </w:r>
      <w:r>
        <w:rPr>
          <w:rFonts w:hint="eastAsia"/>
          <w:color w:val="000000" w:themeColor="text1"/>
          <w:w w:val="105"/>
          <w:sz w:val="24"/>
          <w:szCs w:val="24"/>
          <w:vertAlign w:val="superscript"/>
          <w:lang w:val="en-US"/>
        </w:rPr>
        <w:t>2</w:t>
      </w:r>
      <w:r>
        <w:rPr>
          <w:rFonts w:hint="eastAsia"/>
          <w:color w:val="000000" w:themeColor="text1"/>
          <w:w w:val="105"/>
          <w:sz w:val="24"/>
          <w:szCs w:val="24"/>
          <w:lang w:val="en-US"/>
        </w:rPr>
        <w:t>；</w:t>
      </w:r>
      <w:r>
        <w:rPr>
          <w:rFonts w:hint="eastAsia"/>
          <w:color w:val="000000" w:themeColor="text1"/>
          <w:w w:val="105"/>
          <w:sz w:val="24"/>
          <w:szCs w:val="24"/>
        </w:rPr>
        <w:t>施肥要在清除杂草后进行，施肥前要进行割草；使用施肥机均匀施在草坪表面，施肥后要进行喷淋；施肥后的一周内禁止割草；施肥宜在晴天的下午3点以后或阴天进行，严禁在雨天、高温烈日下施肥。</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3.4 </w:t>
      </w:r>
      <w:r>
        <w:rPr>
          <w:rFonts w:hint="eastAsia"/>
          <w:color w:val="000000" w:themeColor="text1"/>
          <w:w w:val="105"/>
          <w:sz w:val="24"/>
          <w:szCs w:val="24"/>
        </w:rPr>
        <w:t>浇水和保湿</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新种植物、地被和小型非片植型灌木进行浇水时必须控制水流压力，并选择管材口径在20</w:t>
      </w:r>
      <w:r>
        <w:rPr>
          <w:rFonts w:hint="eastAsia"/>
          <w:color w:val="000000" w:themeColor="text1"/>
          <w:w w:val="105"/>
          <w:sz w:val="24"/>
          <w:szCs w:val="24"/>
          <w:lang w:val="en-US"/>
        </w:rPr>
        <w:t>-</w:t>
      </w:r>
      <w:r>
        <w:rPr>
          <w:rFonts w:hint="eastAsia"/>
          <w:color w:val="000000" w:themeColor="text1"/>
          <w:w w:val="105"/>
          <w:sz w:val="24"/>
          <w:szCs w:val="24"/>
        </w:rPr>
        <w:t>25mm之间的产品；浇灌大型乔木，大面积木本灌木时禁止使用直流型水枪；禁止长时间冲淋同一地点，浇水后植株不倒伏；对只需要喷雾保湿的植物，必须选择有半雾状功能的小型水枪；生长季节内的植物，除雨天外，乔灌木每周至少浇1次水，草本、地被等浅根系植物至少每周浇3次，旱季须每天早晚进行喷雾；无降雨的情况下，草坪每周必须浇水1次；高温季节禁止在上午9点至下午4点之间的时间段进行浇水；浇水后无积水现象。</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3.5 </w:t>
      </w:r>
      <w:r>
        <w:rPr>
          <w:rFonts w:hint="eastAsia"/>
          <w:color w:val="000000" w:themeColor="text1"/>
          <w:w w:val="105"/>
          <w:sz w:val="24"/>
          <w:szCs w:val="24"/>
        </w:rPr>
        <w:t>病虫害防治</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严格按照</w:t>
      </w:r>
      <w:r>
        <w:rPr>
          <w:rFonts w:hint="eastAsia"/>
          <w:color w:val="000000" w:themeColor="text1"/>
          <w:w w:val="105"/>
          <w:sz w:val="24"/>
          <w:szCs w:val="24"/>
          <w:lang w:val="en-US"/>
        </w:rPr>
        <w:t>甲方</w:t>
      </w:r>
      <w:r>
        <w:rPr>
          <w:rFonts w:hint="eastAsia"/>
          <w:color w:val="000000" w:themeColor="text1"/>
          <w:w w:val="105"/>
          <w:sz w:val="24"/>
          <w:szCs w:val="24"/>
        </w:rPr>
        <w:t>的要求配置药剂种类和保管领用农药，禁止使用有害剧毒农药；严格遵守药剂使用比例，配置时须使用有刻度标记的量杯；机械喷撒理论扬程达到20m；每次病虫害防治后必须提供防治记录表。</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3.6 </w:t>
      </w:r>
      <w:r>
        <w:rPr>
          <w:rFonts w:hint="eastAsia"/>
          <w:color w:val="000000" w:themeColor="text1"/>
          <w:w w:val="105"/>
          <w:sz w:val="24"/>
          <w:szCs w:val="24"/>
        </w:rPr>
        <w:t>植物调整和补充</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植物调整和补充须根据绿化部要求进行；调整和补充前须提供方案和详细的种植记录；起挖树苗的土球规格符合树木移植规定；外来苗木须备齐检疫证明。</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3.7 </w:t>
      </w:r>
      <w:r>
        <w:rPr>
          <w:rFonts w:hint="eastAsia"/>
          <w:color w:val="000000" w:themeColor="text1"/>
          <w:w w:val="105"/>
          <w:sz w:val="24"/>
          <w:szCs w:val="24"/>
        </w:rPr>
        <w:t>修剪</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乔木每年春季进行一次疏芽理枝，修剪后无明显大于5cm的短桩留存；一级分叉上无萌蘖枝；整形植物每年修剪4次，4月中旬、6月中旬、9月下旬，11月下旬；观花植物花后修剪；多次开花的草本植物随花期跟踪修剪，确保能多次开花，植株丰满健康；花灌木花后必须修剪，修剪部位准确，无大量修剪掉开花枝条的现象；观果植物除外；根据绿化部要求，部分水生植物花后须进行一次整株修剪；水生植物冬季修剪的留茬高度在离水面15cm处；沉水植物的整体高度控制在水下10cm；需要强修剪或回缩修剪的植物，作业前必须告知绿化部，得到允许后方可进行操作；根据绿化部要求，部分具冬态观赏效果的草本和水生植物的修剪随植株状态而定；根据绿化部要求，对部分植物进行更新修剪。</w:t>
      </w:r>
    </w:p>
    <w:p>
      <w:pPr>
        <w:pStyle w:val="22"/>
        <w:tabs>
          <w:tab w:val="left" w:pos="695"/>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3.8 </w:t>
      </w:r>
      <w:r>
        <w:rPr>
          <w:rFonts w:hint="eastAsia"/>
          <w:color w:val="000000" w:themeColor="text1"/>
          <w:w w:val="105"/>
          <w:sz w:val="24"/>
          <w:szCs w:val="24"/>
        </w:rPr>
        <w:t>草坪修剪</w:t>
      </w:r>
    </w:p>
    <w:p>
      <w:pPr>
        <w:pStyle w:val="22"/>
        <w:tabs>
          <w:tab w:val="left" w:pos="839"/>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割草前必须对作业环境进行清理，捡去石块、树枝和其他杂物；剪割草坪的机械必须配置集草器；结缕草成坪高度不低于5cm，最高不超过8cm；百慕大成坪高度不低于4cm，最高不超过8cm</w:t>
      </w:r>
      <w:r>
        <w:rPr>
          <w:rFonts w:hint="eastAsia"/>
          <w:color w:val="000000" w:themeColor="text1"/>
          <w:spacing w:val="-1"/>
          <w:w w:val="105"/>
          <w:sz w:val="24"/>
          <w:szCs w:val="24"/>
        </w:rPr>
        <w:t>，冷季型草坪控制在</w:t>
      </w:r>
      <w:r>
        <w:rPr>
          <w:rFonts w:hint="eastAsia"/>
          <w:color w:val="000000" w:themeColor="text1"/>
          <w:w w:val="105"/>
          <w:sz w:val="24"/>
          <w:szCs w:val="24"/>
        </w:rPr>
        <w:t>6-8cm；草坪边缘和硬质景观之间的距离不超过2cm。</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3.9 </w:t>
      </w:r>
      <w:r>
        <w:rPr>
          <w:rFonts w:hint="eastAsia"/>
          <w:color w:val="000000" w:themeColor="text1"/>
          <w:w w:val="105"/>
          <w:sz w:val="24"/>
          <w:szCs w:val="24"/>
        </w:rPr>
        <w:t>支撑与绑扎</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每年必须对支撑物进行检查更新；每年对绑扎部位进行更换，无铁丝嵌入树身的现象；桩底部必须有地桩支撑，无外露的铁丝头；支撑物无松动现象。</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3.10 </w:t>
      </w:r>
      <w:r>
        <w:rPr>
          <w:rFonts w:hint="eastAsia"/>
          <w:color w:val="000000" w:themeColor="text1"/>
          <w:w w:val="105"/>
          <w:sz w:val="24"/>
          <w:szCs w:val="24"/>
        </w:rPr>
        <w:t>工完场清</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养护废弃物随时清运，无留置超过2小时的现象；遇大型活动时养护产生的废弃物必须直接装车，无堆放现象；遗落在路面的废弃物及时清理，保证路面整洁。</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3.11 </w:t>
      </w:r>
      <w:r>
        <w:rPr>
          <w:rFonts w:hint="eastAsia"/>
          <w:color w:val="000000" w:themeColor="text1"/>
          <w:w w:val="105"/>
          <w:sz w:val="24"/>
          <w:szCs w:val="24"/>
        </w:rPr>
        <w:t>养护废弃物处理</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养护产生的废弃物根据园区垃圾要求分类堆放，保证废弃物堆放有序；绿化垃圾应及时驳运到绿化垃圾场地，绿化垃圾长度控制在</w:t>
      </w:r>
      <w:r>
        <w:rPr>
          <w:color w:val="000000" w:themeColor="text1"/>
          <w:w w:val="105"/>
          <w:sz w:val="24"/>
          <w:szCs w:val="24"/>
        </w:rPr>
        <w:t>1米内便于清运</w:t>
      </w:r>
      <w:r>
        <w:rPr>
          <w:color w:val="000000" w:themeColor="text1"/>
          <w:sz w:val="24"/>
          <w:szCs w:val="24"/>
        </w:rPr>
        <w:t xml:space="preserve"> </w:t>
      </w:r>
      <w:r>
        <w:rPr>
          <w:rFonts w:hint="eastAsia"/>
          <w:color w:val="000000" w:themeColor="text1"/>
          <w:sz w:val="24"/>
          <w:szCs w:val="24"/>
        </w:rPr>
        <w:t>。</w:t>
      </w:r>
    </w:p>
    <w:p>
      <w:pPr>
        <w:pStyle w:val="22"/>
        <w:tabs>
          <w:tab w:val="left" w:pos="767"/>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lang w:val="en-US"/>
        </w:rPr>
        <w:t xml:space="preserve">3.12 </w:t>
      </w:r>
      <w:r>
        <w:rPr>
          <w:rFonts w:hint="eastAsia"/>
          <w:color w:val="000000" w:themeColor="text1"/>
          <w:w w:val="105"/>
          <w:sz w:val="24"/>
          <w:szCs w:val="24"/>
        </w:rPr>
        <w:t>养护计划、总结与档案</w:t>
      </w:r>
    </w:p>
    <w:p>
      <w:pPr>
        <w:pStyle w:val="22"/>
        <w:tabs>
          <w:tab w:val="left" w:pos="911"/>
        </w:tabs>
        <w:spacing w:line="360" w:lineRule="auto"/>
        <w:ind w:left="440" w:leftChars="200" w:firstLine="504" w:firstLineChars="200"/>
        <w:jc w:val="both"/>
        <w:rPr>
          <w:color w:val="000000" w:themeColor="text1"/>
          <w:sz w:val="24"/>
          <w:szCs w:val="24"/>
        </w:rPr>
      </w:pPr>
      <w:r>
        <w:rPr>
          <w:rFonts w:hint="eastAsia"/>
          <w:color w:val="000000" w:themeColor="text1"/>
          <w:w w:val="105"/>
          <w:sz w:val="24"/>
          <w:szCs w:val="24"/>
        </w:rPr>
        <w:t>养护单位做好养护台帐；每月初必须提交当月养护计划，月底提交计划执行报告，并提交整改方案；各类养护档案记录完整，无遗漏和错记，定期提交绿化部归档。</w:t>
      </w:r>
    </w:p>
    <w:p>
      <w:pPr>
        <w:pStyle w:val="3"/>
        <w:tabs>
          <w:tab w:val="left" w:pos="5115"/>
        </w:tabs>
        <w:spacing w:before="240" w:beforeLines="100" w:after="240" w:afterLines="100" w:line="360" w:lineRule="auto"/>
        <w:ind w:left="482" w:firstLine="0"/>
        <w:jc w:val="center"/>
        <w:rPr>
          <w:color w:val="000000" w:themeColor="text1"/>
          <w:sz w:val="24"/>
          <w:szCs w:val="24"/>
        </w:rPr>
      </w:pPr>
      <w:r>
        <w:rPr>
          <w:rFonts w:hint="eastAsia"/>
          <w:b/>
          <w:bCs/>
          <w:color w:val="000000" w:themeColor="text1"/>
          <w:sz w:val="24"/>
          <w:szCs w:val="24"/>
        </w:rPr>
        <w:t xml:space="preserve">4 </w:t>
      </w:r>
      <w:r>
        <w:rPr>
          <w:rFonts w:hint="eastAsia"/>
          <w:b/>
          <w:bCs/>
          <w:color w:val="000000" w:themeColor="text1"/>
          <w:sz w:val="24"/>
          <w:szCs w:val="24"/>
          <w:lang w:val="en-US"/>
        </w:rPr>
        <w:t>管理要求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龙陵园区开放时间：6:00-17:30；纪念馆开放时间：9:00-16:30。绿化养护时间在开放时间段内，若因工作需要提前或延后，需提前报备项目经理，再由项目经理报备甲方负责人。</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制度化管理，工作人员行为举止、操作流程、工具摆放使用规范；劳动防护、设施、设备操作安全措施明确；用工合法合规，岗位配置足额，确保队伍稳定，不得违反劳动法相关用工规定。符合甲方ISO标准化管理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4.1 岗位素质要求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rPr>
        <w:t>严格履行考勤制度，着装标识统一规范，语言举止文明得体，安全措施落实到位；禁止赤膊、穿拖鞋等不雅行为发生；禁止在园内的各种桌椅上用餐、睡觉；禁止与游客发生争执；由于烈士陵园的特殊性，绿化养护人员在陵园工作期间不得随意打闹、大声喧哗，墓地草坪除养护作业外不得停留。</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4.2 岗位配置要求</w:t>
      </w:r>
    </w:p>
    <w:p>
      <w:pPr>
        <w:pStyle w:val="22"/>
        <w:tabs>
          <w:tab w:val="left" w:pos="767"/>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rPr>
        <w:t>每年度基本养护人数最少不得少于</w:t>
      </w:r>
      <w:r>
        <w:rPr>
          <w:color w:val="000000" w:themeColor="text1"/>
          <w:w w:val="105"/>
          <w:sz w:val="24"/>
          <w:szCs w:val="24"/>
        </w:rPr>
        <w:t>5</w:t>
      </w:r>
      <w:r>
        <w:rPr>
          <w:rFonts w:hint="eastAsia"/>
          <w:color w:val="000000" w:themeColor="text1"/>
          <w:w w:val="105"/>
          <w:sz w:val="24"/>
          <w:szCs w:val="24"/>
        </w:rPr>
        <w:t>人，其他季节性临时工总人工数由中标公司自行核算申报；养护人员身体健康，五官端正，团队融合度好，主动服务意识强，接受过上岗培训，无不良记录；注重人文关怀，推进和谐团队建设，增强团队的凝聚力，保持养护人员队伍的稳定；每季度对养护人员进行职业道德、操作技能、安全知识、相关文件的培训，并做好相关记录等工作；对关键岗位、技术岗位的养护人员培训后才能上岗；充分听取甲方意见和建议，建立科学的激励机制，鼓励、奖励优秀养护人员，调动全体养护人员的积极性、主动性；保证从事本项目的人员具备相应的职业资格和应有的素质要求；项目主要管理人员具有大专学历、中级及以上职称、养护服务管理经验的优先考虑；如需调整管理人员及技术骨干，应事先通报甲方，并得到甲方认可；对甲方提出认为不适合的养护人员，应及时作出相应调整、更换。</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4.3 绿化养护休息室使用制度</w:t>
      </w:r>
    </w:p>
    <w:p>
      <w:pPr>
        <w:pStyle w:val="22"/>
        <w:tabs>
          <w:tab w:val="left" w:pos="767"/>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rPr>
        <w:t>绿化养护休息室供养护队临时休息或者值班使用；房间内不得私拉电线，使用陵园配备外的大功率电器；值班过夜需项目经理根据工作需要提出申请，经甲方负责人审批后方可；养护车辆要停放在陵园指定停放点，不得任意停放在绿化养护休息室内；室外休息不得</w:t>
      </w:r>
      <w:r>
        <w:rPr>
          <w:rFonts w:hint="eastAsia"/>
          <w:color w:val="000000" w:themeColor="text1"/>
          <w:w w:val="105"/>
          <w:sz w:val="24"/>
          <w:szCs w:val="24"/>
          <w:lang w:val="en-US"/>
        </w:rPr>
        <w:t>任意</w:t>
      </w:r>
      <w:r>
        <w:rPr>
          <w:rFonts w:hint="eastAsia"/>
          <w:color w:val="000000" w:themeColor="text1"/>
          <w:w w:val="105"/>
          <w:sz w:val="24"/>
          <w:szCs w:val="24"/>
        </w:rPr>
        <w:t>在墓地草坪上停留。</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4.4 肥料、药剂等耗材配置要求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肥料、药剂由提供中标公司提供，甲方提供存放点，并做好入库出库登记，便于管理；中标公司需落实肥料、农药的安全使用培训，由甲方监管，控制使用量；养护人员的工作制服、劳防用品等物品由中标公司负责提供。</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4.5 养护设备配置要求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据甲方绿化养护需求，涉及但不限于配备垃圾清运车、洒水车、割灌机、绿篱修剪机、推车式割草机、背负式割草机、背负式喷雾机、高枝剪、高枝锯、定制不锈钢修剪刀、铲、锄头、刀等养护设备，由中标公司提供并负责安全使用；养护设备存放地点由甲方提供，养护人员使用人需按规存放，并做好日常保养，操作规程安全有效，确保使用正常，无安全隐患。</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4.6 规范管理制度要求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管理工作有章可循，考核有据可查。中标公司需建立和执行以下管理制度：工作人员行为规范及奖惩制度、员工培训制度、工作质量标准、工休时间规定、安全操作规程、物料领用制度、劳动防护及工伤处理制度、重大活动工作预案等。</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养护队考勤表及ISO各涉及绿化养护的表单由实际操作人每月按实填报，项目经理签字后递交甲方负责人。若遇极端天气影响或工作需要，养护队派驻值班人员进行值班，值班记录应反映在当月考勤表中。</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4.7 安全管理措施要求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加强安全教育，落实安全操作规程，完善劳动防护、防暑降温条件，防范安全事故的发生；制定休息室安全用电措施，确保冷藏、加热设备性能完好，保证工作人员用餐安全。高温天气注意避开高温时期进行室外作业，极端天气注意安全防范工作。</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4.7.1 劳动防护</w:t>
      </w:r>
    </w:p>
    <w:p>
      <w:pPr>
        <w:pStyle w:val="22"/>
        <w:tabs>
          <w:tab w:val="left" w:pos="767"/>
        </w:tabs>
        <w:spacing w:line="360" w:lineRule="auto"/>
        <w:ind w:left="440" w:leftChars="200" w:firstLine="504" w:firstLineChars="200"/>
        <w:jc w:val="both"/>
        <w:rPr>
          <w:color w:val="000000" w:themeColor="text1"/>
          <w:w w:val="105"/>
          <w:sz w:val="24"/>
          <w:szCs w:val="24"/>
        </w:rPr>
      </w:pPr>
      <w:r>
        <w:rPr>
          <w:rFonts w:hint="eastAsia"/>
          <w:color w:val="000000" w:themeColor="text1"/>
          <w:w w:val="105"/>
          <w:sz w:val="24"/>
          <w:szCs w:val="24"/>
          <w:lang w:val="en-US"/>
        </w:rPr>
        <w:t>养护作业前，劳动防护用品必须配备齐全。养护作业时，必须佩带相关的防护用具。</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4.7.2 机械操作</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养护工具随身携带，规范操作，统一管理，严禁随地乱放。园区作业时，长度超过2m以上的工具在不使用时必须平放在地面。</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操作机械时必须，做好维护警示，注意周围情况，防止伤及他人，人员密集时应避开或停止操作。机械操作时必须佩带相关的防护用具。妥善安排好养护工具的摆放。</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4.7.3 养护车辆</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禁止车辆在园内鸣笛，园内车辆行驶速度小于10码，车辆行驶须避客让行，禁止车辆穿越人群，遇大量游客时必须停止行驶。园内车辆不得任意在祭扫平台、绿地草坪上行驶。</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4.7.4 高空、动火作业</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 xml:space="preserve">高空作业、动火作业需手续办理后方可开工，安全保障物资应合规使用。 </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高空作业必须持证上岗，离地面2m以上进行作业时必须佩戴安全带和安全帽；高空作业进行时，地面必须竖立警示牌或警示围栏，并有人员在地面进行协助、疏导。</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4.7.5 防台防汛</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根据园内防台防汛要求，备好防台抢险的必要物资，必须提前提供值班制度及防台人员的名单和联系方式，服从园内防台工作人员的统一指挥。</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4.8 作业制度</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必须有明确的作业制度，作业制度的更改必须提前通知甲方。</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重要节点期间除必要的浇水养护外不得进行大规模的、机械类的作业，浇水养护如用水泵建议在上午8点30分之前或在下午4点30分后进行。遇团队进行仪式或参观时，养护工作应注意机械噪音影响并适当采取避让措施。</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发生临时性事件时须根据园方的要求集合或解散现场作业人。绿化突发事件发生后，养护人员需1小时内到位进行清理和补救措施。若有需上报情况，应发现后半小时内上报甲方负责人。养护人员在应急响应的期间，应服从园区统一调配。</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古树名木的养护工作安排专人负责，并如实记录古树名木养护表单。绿化电子档案如实记录，若需砍伐、移除或补植树木，需在周工作计划表中提出工作申请，并填写相关记录，通知绿化电子档案管理人员及时进行档案更新</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绿化垃圾应及时驳运到绿化垃圾场地，绿化垃圾长度控制在1米内便于清运。水管浇水拖管不得高于地面，拖管期间时刻留意游客安全。养护期间，若需长时间占用路面，需设置安全警戒线。农药使用时，注意防护用品的使用和区域警戒线的设置并填写ISO农药管理相关文件。根据天气变化，提前做好极端天气的绿化养护防范工作，尽量减少绿化突发事件。</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4.9 疫情防控管理要求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及时掌握养护人员健康状况和生活活动轨迹等情况，并进行动态更新，报备甲方。根据疫情防控要求实施措施跟进，做好个人防护工作。</w:t>
      </w:r>
    </w:p>
    <w:p>
      <w:pPr>
        <w:pStyle w:val="3"/>
        <w:tabs>
          <w:tab w:val="left" w:pos="5115"/>
        </w:tabs>
        <w:spacing w:before="240" w:beforeLines="100" w:after="240" w:afterLines="100" w:line="360" w:lineRule="auto"/>
        <w:ind w:left="482" w:firstLine="0"/>
        <w:jc w:val="center"/>
        <w:rPr>
          <w:b/>
          <w:bCs/>
          <w:color w:val="000000" w:themeColor="text1"/>
          <w:sz w:val="24"/>
          <w:szCs w:val="24"/>
        </w:rPr>
      </w:pPr>
      <w:r>
        <w:rPr>
          <w:rFonts w:hint="eastAsia"/>
          <w:b/>
          <w:bCs/>
          <w:color w:val="000000" w:themeColor="text1"/>
          <w:sz w:val="24"/>
          <w:szCs w:val="24"/>
          <w:lang w:val="en-US"/>
        </w:rPr>
        <w:t>5</w:t>
      </w:r>
      <w:r>
        <w:rPr>
          <w:rFonts w:hint="eastAsia"/>
          <w:b/>
          <w:bCs/>
          <w:color w:val="000000" w:themeColor="text1"/>
          <w:sz w:val="24"/>
          <w:szCs w:val="24"/>
        </w:rPr>
        <w:t xml:space="preserve"> </w:t>
      </w:r>
      <w:r>
        <w:rPr>
          <w:rFonts w:hint="eastAsia"/>
          <w:b/>
          <w:bCs/>
          <w:color w:val="000000" w:themeColor="text1"/>
          <w:sz w:val="24"/>
          <w:szCs w:val="24"/>
          <w:lang w:val="en-US"/>
        </w:rPr>
        <w:t>考核要求</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5.1 考核依据</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养护服务合同、招标文件所委托的岗位的养护效果、养护范围、养护内容、养护要求（标准）和投标文件。</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5.2 考核组织实施</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由甲方组织实施考核，采取现场检查和台账检查。通过深入养护现场，查验养护效果，以及查阅各类运行台账记录，依据考核评分表逐项打分。每季度考核一次。</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5.3 考核奖惩</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5.3.1 季度考核，评分在70分及以上，为考核合格；根据合同甲方全额支付该季度服务费。</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5.3.2 季度考核，评分在60分（含60分）至69分区间，为基本合格；甲方将给予书面警告，并依据服务整体评价，酌情扣除该季度部分服务费用。</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5.3.3 季度考核，评分在60分以下，为不合格；甲方将依据合同约定，有权单方解除合同。</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5.3.4 养护服务期间出现下列情况的，甲方有权单方解除合同，并要求中标公司赔偿对应损失的违约金。</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（1）服务内容未达到合同及投标文件约定的。</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（2）服务标准未达到合同及投标文件承诺的。</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（3）游客、职工对养护服务的满意率低于75%的。</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（4）因中标方过错，造成甲方巨大损失的。</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（5）发生严重影响、妨碍甲方正常工作秩序的。</w:t>
      </w:r>
    </w:p>
    <w:p>
      <w:pPr>
        <w:pStyle w:val="22"/>
        <w:tabs>
          <w:tab w:val="left" w:pos="767"/>
        </w:tabs>
        <w:spacing w:line="360" w:lineRule="auto"/>
        <w:ind w:left="440" w:leftChars="200" w:firstLine="504" w:firstLineChars="200"/>
        <w:jc w:val="both"/>
        <w:rPr>
          <w:color w:val="000000" w:themeColor="text1"/>
          <w:w w:val="105"/>
          <w:sz w:val="24"/>
          <w:szCs w:val="24"/>
          <w:lang w:val="en-US"/>
        </w:rPr>
      </w:pPr>
      <w:r>
        <w:rPr>
          <w:rFonts w:hint="eastAsia"/>
          <w:color w:val="000000" w:themeColor="text1"/>
          <w:w w:val="105"/>
          <w:sz w:val="24"/>
          <w:szCs w:val="24"/>
          <w:lang w:val="en-US"/>
        </w:rPr>
        <w:t>5.4 考核评分表</w:t>
      </w:r>
    </w:p>
    <w:p>
      <w:pPr>
        <w:pStyle w:val="10"/>
        <w:adjustRightInd w:val="0"/>
        <w:snapToGrid w:val="0"/>
        <w:spacing w:after="240" w:afterLines="100" w:line="560" w:lineRule="exact"/>
        <w:jc w:val="center"/>
        <w:rPr>
          <w:rFonts w:ascii="仿宋_GB2312" w:eastAsia="仿宋_GB2312" w:cs="宋体" w:hAnsiTheme="minorEastAsia"/>
          <w:b/>
          <w:sz w:val="24"/>
        </w:rPr>
      </w:pPr>
      <w:r>
        <w:rPr>
          <w:rFonts w:hint="eastAsia" w:ascii="仿宋_GB2312" w:eastAsia="仿宋_GB2312" w:cs="宋体" w:hAnsiTheme="minorEastAsia"/>
          <w:b/>
          <w:sz w:val="24"/>
        </w:rPr>
        <w:t>考核评分表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50"/>
        <w:gridCol w:w="1761"/>
        <w:gridCol w:w="1348"/>
        <w:gridCol w:w="474"/>
        <w:gridCol w:w="255"/>
        <w:gridCol w:w="2126"/>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86"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考核评分日期</w:t>
            </w:r>
          </w:p>
        </w:tc>
        <w:tc>
          <w:tcPr>
            <w:tcW w:w="1761"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c>
          <w:tcPr>
            <w:tcW w:w="1822"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督导检查人员</w:t>
            </w:r>
          </w:p>
        </w:tc>
        <w:tc>
          <w:tcPr>
            <w:tcW w:w="3087"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86"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外包服务单位</w:t>
            </w:r>
          </w:p>
        </w:tc>
        <w:tc>
          <w:tcPr>
            <w:tcW w:w="6670" w:type="dxa"/>
            <w:gridSpan w:val="6"/>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类别</w:t>
            </w:r>
          </w:p>
        </w:tc>
        <w:tc>
          <w:tcPr>
            <w:tcW w:w="395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both"/>
              <w:rPr>
                <w:rFonts w:ascii="仿宋_GB2312" w:eastAsia="仿宋_GB2312" w:hAnsiTheme="minorEastAsia"/>
                <w:sz w:val="24"/>
              </w:rPr>
            </w:pPr>
            <w:r>
              <w:rPr>
                <w:rFonts w:hint="eastAsia" w:ascii="仿宋_GB2312" w:eastAsia="仿宋_GB2312" w:hAnsiTheme="minorEastAsia"/>
                <w:sz w:val="24"/>
              </w:rPr>
              <w:t>考核内容</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both"/>
              <w:rPr>
                <w:rFonts w:ascii="仿宋_GB2312" w:eastAsia="仿宋_GB2312" w:hAnsiTheme="minorEastAsia"/>
                <w:sz w:val="24"/>
              </w:rPr>
            </w:pPr>
            <w:r>
              <w:rPr>
                <w:rFonts w:hint="eastAsia" w:ascii="仿宋_GB2312" w:eastAsia="仿宋_GB2312" w:hAnsiTheme="minorEastAsia"/>
                <w:sz w:val="24"/>
              </w:rPr>
              <w:t>规定</w:t>
            </w:r>
          </w:p>
          <w:p>
            <w:pPr>
              <w:snapToGrid w:val="0"/>
              <w:spacing w:line="280" w:lineRule="exact"/>
              <w:jc w:val="both"/>
              <w:rPr>
                <w:rFonts w:ascii="仿宋_GB2312" w:eastAsia="仿宋_GB2312" w:hAnsiTheme="minorEastAsia"/>
                <w:sz w:val="24"/>
              </w:rPr>
            </w:pPr>
            <w:r>
              <w:rPr>
                <w:rFonts w:hint="eastAsia" w:ascii="仿宋_GB2312" w:eastAsia="仿宋_GB2312" w:hAnsiTheme="minorEastAsia"/>
                <w:sz w:val="24"/>
              </w:rPr>
              <w:t>分值</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both"/>
              <w:rPr>
                <w:rFonts w:ascii="仿宋_GB2312" w:eastAsia="仿宋_GB2312" w:hAnsiTheme="minorEastAsia"/>
                <w:sz w:val="24"/>
              </w:rPr>
            </w:pPr>
            <w:r>
              <w:rPr>
                <w:rFonts w:hint="eastAsia" w:ascii="仿宋_GB2312" w:eastAsia="仿宋_GB2312" w:hAnsiTheme="minorEastAsia"/>
                <w:sz w:val="24"/>
              </w:rPr>
              <w:t>评分标准</w:t>
            </w:r>
          </w:p>
        </w:tc>
        <w:tc>
          <w:tcPr>
            <w:tcW w:w="706"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r>
              <w:rPr>
                <w:rFonts w:hint="eastAsia" w:ascii="仿宋_GB2312" w:eastAsia="仿宋_GB2312" w:hAnsiTheme="minorEastAsia"/>
                <w:sz w:val="24"/>
              </w:rPr>
              <w:t>考核</w:t>
            </w:r>
          </w:p>
          <w:p>
            <w:pPr>
              <w:snapToGrid w:val="0"/>
              <w:spacing w:line="280" w:lineRule="exact"/>
              <w:jc w:val="both"/>
              <w:rPr>
                <w:rFonts w:ascii="仿宋_GB2312" w:eastAsia="仿宋_GB2312" w:hAnsiTheme="minorEastAsia"/>
                <w:sz w:val="24"/>
              </w:rPr>
            </w:pPr>
            <w:r>
              <w:rPr>
                <w:rFonts w:hint="eastAsia" w:ascii="仿宋_GB2312" w:eastAsia="仿宋_GB2312" w:hAnsiTheme="minorEastAsia"/>
                <w:sz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养护服务质量</w:t>
            </w:r>
          </w:p>
          <w:p>
            <w:pPr>
              <w:snapToGrid w:val="0"/>
              <w:jc w:val="both"/>
              <w:rPr>
                <w:rFonts w:ascii="仿宋_GB2312" w:eastAsia="仿宋_GB2312" w:hAnsiTheme="minorEastAsia"/>
                <w:sz w:val="24"/>
              </w:rPr>
            </w:pPr>
            <w:r>
              <w:rPr>
                <w:rFonts w:hint="eastAsia" w:ascii="仿宋_GB2312" w:eastAsia="仿宋_GB2312" w:hAnsiTheme="minorEastAsia"/>
                <w:sz w:val="24"/>
              </w:rPr>
              <w:t>（80）</w:t>
            </w:r>
          </w:p>
        </w:tc>
        <w:tc>
          <w:tcPr>
            <w:tcW w:w="3959" w:type="dxa"/>
            <w:gridSpan w:val="3"/>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现场养护服务质量抽样检查情况</w:t>
            </w:r>
          </w:p>
          <w:p>
            <w:pPr>
              <w:snapToGrid w:val="0"/>
              <w:jc w:val="both"/>
              <w:rPr>
                <w:rFonts w:ascii="仿宋_GB2312" w:eastAsia="仿宋_GB2312" w:hAnsiTheme="minorEastAsia"/>
                <w:sz w:val="24"/>
              </w:rPr>
            </w:pPr>
            <w:r>
              <w:rPr>
                <w:rFonts w:ascii="仿宋_GB2312" w:eastAsia="仿宋_GB2312" w:hAnsiTheme="minorEastAsia"/>
                <w:sz w:val="24"/>
              </w:rPr>
              <w:t>（包括但不限于树木存活率</w:t>
            </w:r>
            <w:r>
              <w:rPr>
                <w:rFonts w:hint="eastAsia" w:ascii="仿宋_GB2312" w:eastAsia="仿宋_GB2312" w:hAnsiTheme="minorEastAsia"/>
                <w:sz w:val="24"/>
              </w:rPr>
              <w:t>；</w:t>
            </w:r>
            <w:r>
              <w:rPr>
                <w:rFonts w:ascii="仿宋_GB2312" w:eastAsia="仿宋_GB2312" w:hAnsiTheme="minorEastAsia"/>
                <w:sz w:val="24"/>
              </w:rPr>
              <w:t>病枯枝修剪</w:t>
            </w:r>
            <w:r>
              <w:rPr>
                <w:rFonts w:hint="eastAsia" w:ascii="仿宋_GB2312" w:eastAsia="仿宋_GB2312" w:hAnsiTheme="minorEastAsia"/>
                <w:sz w:val="24"/>
              </w:rPr>
              <w:t>；</w:t>
            </w:r>
            <w:r>
              <w:rPr>
                <w:rFonts w:ascii="仿宋_GB2312" w:eastAsia="仿宋_GB2312" w:hAnsiTheme="minorEastAsia"/>
                <w:sz w:val="24"/>
              </w:rPr>
              <w:t>造型植物整体形态</w:t>
            </w:r>
            <w:r>
              <w:rPr>
                <w:rFonts w:hint="eastAsia" w:ascii="仿宋_GB2312" w:eastAsia="仿宋_GB2312" w:hAnsiTheme="minorEastAsia"/>
                <w:sz w:val="24"/>
              </w:rPr>
              <w:t>；</w:t>
            </w:r>
            <w:r>
              <w:rPr>
                <w:rFonts w:ascii="仿宋_GB2312" w:eastAsia="仿宋_GB2312" w:hAnsiTheme="minorEastAsia"/>
                <w:sz w:val="24"/>
              </w:rPr>
              <w:t>草坪杂草清除；草坪平整度；草坪覆盖率；浇水施肥及时性及均匀度等）</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r>
              <w:rPr>
                <w:rFonts w:hint="eastAsia" w:ascii="仿宋_GB2312" w:eastAsia="仿宋_GB2312" w:hAnsiTheme="minorEastAsia"/>
                <w:sz w:val="24"/>
              </w:rPr>
              <w:t>80</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r>
              <w:rPr>
                <w:rFonts w:hint="eastAsia" w:ascii="仿宋_GB2312" w:eastAsia="仿宋_GB2312" w:hAnsiTheme="minorEastAsia"/>
              </w:rPr>
              <w:t>抽样检查，每发生一处轻微不合格项扣0.25分、严重不合格项扣0.5分。</w:t>
            </w:r>
          </w:p>
        </w:tc>
        <w:tc>
          <w:tcPr>
            <w:tcW w:w="706"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36" w:type="dxa"/>
            <w:vMerge w:val="restart"/>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综合管</w:t>
            </w:r>
          </w:p>
          <w:p>
            <w:pPr>
              <w:snapToGrid w:val="0"/>
              <w:jc w:val="both"/>
              <w:rPr>
                <w:rFonts w:ascii="仿宋_GB2312" w:eastAsia="仿宋_GB2312" w:hAnsiTheme="minorEastAsia"/>
                <w:sz w:val="24"/>
              </w:rPr>
            </w:pPr>
            <w:r>
              <w:rPr>
                <w:rFonts w:hint="eastAsia" w:ascii="仿宋_GB2312" w:eastAsia="仿宋_GB2312" w:hAnsiTheme="minorEastAsia"/>
                <w:sz w:val="24"/>
              </w:rPr>
              <w:t>理情况</w:t>
            </w:r>
          </w:p>
          <w:p>
            <w:pPr>
              <w:snapToGrid w:val="0"/>
              <w:jc w:val="both"/>
              <w:rPr>
                <w:rFonts w:ascii="仿宋_GB2312" w:eastAsia="仿宋_GB2312" w:hAnsiTheme="minorEastAsia"/>
                <w:sz w:val="24"/>
              </w:rPr>
            </w:pPr>
            <w:r>
              <w:rPr>
                <w:rFonts w:hint="eastAsia" w:ascii="仿宋_GB2312" w:eastAsia="仿宋_GB2312" w:hAnsiTheme="minorEastAsia"/>
                <w:sz w:val="24"/>
              </w:rPr>
              <w:t>（</w:t>
            </w:r>
            <w:r>
              <w:rPr>
                <w:rFonts w:ascii="仿宋_GB2312" w:eastAsia="仿宋_GB2312" w:hAnsiTheme="minorEastAsia"/>
                <w:sz w:val="24"/>
              </w:rPr>
              <w:t>12</w:t>
            </w:r>
            <w:r>
              <w:rPr>
                <w:rFonts w:hint="eastAsia" w:ascii="仿宋_GB2312" w:eastAsia="仿宋_GB2312" w:hAnsiTheme="minorEastAsia"/>
                <w:sz w:val="24"/>
              </w:rPr>
              <w:t>）</w:t>
            </w: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建立健全管理制度和岗位职责。</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ascii="仿宋_GB2312" w:eastAsia="仿宋_GB2312" w:hAnsiTheme="minorEastAsia"/>
                <w:sz w:val="24"/>
              </w:rPr>
              <w:t>4</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员工考勤、现场自查、养护记录、培训记录等资料齐全，查阅方便。</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4</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加强安全教育，落实安全操作规程，持证上岗，完善劳动防护、防暑降温条件。</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ascii="仿宋_GB2312" w:eastAsia="仿宋_GB2312" w:hAnsiTheme="minorEastAsia"/>
                <w:sz w:val="24"/>
              </w:rPr>
              <w:t>4</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36" w:type="dxa"/>
            <w:vMerge w:val="restart"/>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基本行为规范</w:t>
            </w:r>
          </w:p>
          <w:p>
            <w:pPr>
              <w:snapToGrid w:val="0"/>
              <w:jc w:val="both"/>
              <w:rPr>
                <w:rFonts w:ascii="仿宋_GB2312" w:eastAsia="仿宋_GB2312" w:hAnsiTheme="minorEastAsia"/>
                <w:sz w:val="24"/>
              </w:rPr>
            </w:pPr>
            <w:r>
              <w:rPr>
                <w:rFonts w:hint="eastAsia" w:ascii="仿宋_GB2312" w:eastAsia="仿宋_GB2312" w:hAnsiTheme="minorEastAsia"/>
                <w:sz w:val="24"/>
              </w:rPr>
              <w:t>（</w:t>
            </w:r>
            <w:r>
              <w:rPr>
                <w:rFonts w:ascii="仿宋_GB2312" w:eastAsia="仿宋_GB2312" w:hAnsiTheme="minorEastAsia"/>
                <w:sz w:val="24"/>
              </w:rPr>
              <w:t>8</w:t>
            </w:r>
            <w:r>
              <w:rPr>
                <w:rFonts w:hint="eastAsia" w:ascii="仿宋_GB2312" w:eastAsia="仿宋_GB2312" w:hAnsiTheme="minorEastAsia"/>
                <w:sz w:val="24"/>
              </w:rPr>
              <w:t>）</w:t>
            </w: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按照岗位要求，着装标识统一，仪容端庄，仪表规范。</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2</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工作期间微笑服务，文明用语，礼貌待人。</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2</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遵守规章制度，落实疫情防控要求，有情况及时报备。</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2</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both"/>
              <w:rPr>
                <w:rFonts w:ascii="仿宋_GB2312" w:eastAsia="仿宋_GB2312" w:hAnsiTheme="minorEastAsia"/>
                <w:sz w:val="24"/>
              </w:rPr>
            </w:pPr>
          </w:p>
        </w:tc>
        <w:tc>
          <w:tcPr>
            <w:tcW w:w="3959" w:type="dxa"/>
            <w:gridSpan w:val="3"/>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养护设备摆放整齐，整洁有序。</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2</w:t>
            </w:r>
          </w:p>
        </w:tc>
        <w:tc>
          <w:tcPr>
            <w:tcW w:w="212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rPr>
              <w:t>抽样检查，每发生一处不符合扣0.5分</w:t>
            </w:r>
          </w:p>
        </w:tc>
        <w:tc>
          <w:tcPr>
            <w:tcW w:w="706" w:type="dxa"/>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895" w:type="dxa"/>
            <w:gridSpan w:val="4"/>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总分</w:t>
            </w:r>
          </w:p>
        </w:tc>
        <w:tc>
          <w:tcPr>
            <w:tcW w:w="729" w:type="dxa"/>
            <w:gridSpan w:val="2"/>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100</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p>
        </w:tc>
        <w:tc>
          <w:tcPr>
            <w:tcW w:w="706" w:type="dxa"/>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r>
              <w:rPr>
                <w:rFonts w:hint="eastAsia" w:ascii="仿宋_GB2312" w:eastAsia="仿宋_GB2312" w:hAnsiTheme="minorEastAsia"/>
                <w:sz w:val="24"/>
              </w:rPr>
              <w:t>考核</w:t>
            </w:r>
          </w:p>
          <w:p>
            <w:pPr>
              <w:snapToGrid w:val="0"/>
              <w:jc w:val="both"/>
              <w:rPr>
                <w:rFonts w:ascii="仿宋_GB2312" w:eastAsia="仿宋_GB2312" w:hAnsiTheme="minorEastAsia"/>
                <w:sz w:val="24"/>
              </w:rPr>
            </w:pPr>
            <w:r>
              <w:rPr>
                <w:rFonts w:hint="eastAsia" w:ascii="仿宋_GB2312" w:eastAsia="仿宋_GB2312" w:hAnsiTheme="minorEastAsia"/>
                <w:sz w:val="24"/>
              </w:rPr>
              <w:t>结果</w:t>
            </w:r>
          </w:p>
        </w:tc>
        <w:tc>
          <w:tcPr>
            <w:tcW w:w="6814" w:type="dxa"/>
            <w:gridSpan w:val="6"/>
            <w:tcBorders>
              <w:top w:val="single" w:color="auto" w:sz="4" w:space="0"/>
              <w:left w:val="single" w:color="auto" w:sz="4" w:space="0"/>
              <w:bottom w:val="single" w:color="auto" w:sz="4" w:space="0"/>
              <w:right w:val="single" w:color="auto" w:sz="4" w:space="0"/>
            </w:tcBorders>
            <w:vAlign w:val="center"/>
          </w:tcPr>
          <w:p>
            <w:pPr>
              <w:jc w:val="both"/>
              <w:rPr>
                <w:rFonts w:ascii="仿宋_GB2312" w:eastAsia="仿宋_GB2312" w:hAnsiTheme="minorEastAsia"/>
              </w:rPr>
            </w:pPr>
            <w:r>
              <w:rPr>
                <w:rFonts w:hint="eastAsia" w:ascii="仿宋_GB2312" w:eastAsia="仿宋_GB2312" w:hAnsiTheme="minorEastAsia"/>
              </w:rPr>
              <w:t>总分值为100分，考核评分在90分及以上，考核评价为优秀；考核评分在70分（含70分）至89分区间，考核评价为合格；考核评分在60分（含60分）至69分区间，考核评价为基本合格；考核评分60分以下，考核评价为不合格。</w:t>
            </w:r>
          </w:p>
        </w:tc>
        <w:tc>
          <w:tcPr>
            <w:tcW w:w="706" w:type="dxa"/>
            <w:tcBorders>
              <w:top w:val="single" w:color="auto" w:sz="4" w:space="0"/>
              <w:left w:val="single" w:color="auto" w:sz="4" w:space="0"/>
              <w:bottom w:val="single" w:color="auto" w:sz="4" w:space="0"/>
              <w:right w:val="single" w:color="auto" w:sz="4" w:space="0"/>
            </w:tcBorders>
            <w:vAlign w:val="center"/>
          </w:tcPr>
          <w:p>
            <w:pPr>
              <w:snapToGrid w:val="0"/>
              <w:jc w:val="both"/>
              <w:rPr>
                <w:rFonts w:ascii="仿宋_GB2312" w:eastAsia="仿宋_GB2312" w:hAnsiTheme="minorEastAsia"/>
                <w:sz w:val="24"/>
              </w:rPr>
            </w:pPr>
          </w:p>
        </w:tc>
      </w:tr>
    </w:tbl>
    <w:p>
      <w:pPr>
        <w:pStyle w:val="10"/>
        <w:adjustRightInd w:val="0"/>
        <w:snapToGrid w:val="0"/>
        <w:ind w:firstLine="480" w:firstLineChars="200"/>
        <w:jc w:val="both"/>
        <w:rPr>
          <w:rFonts w:ascii="仿宋_GB2312" w:eastAsia="仿宋_GB2312" w:cs="宋体" w:hAnsiTheme="minorEastAsia"/>
          <w:sz w:val="24"/>
          <w:szCs w:val="24"/>
        </w:rPr>
      </w:pPr>
      <w:r>
        <w:rPr>
          <w:rFonts w:hint="eastAsia" w:ascii="仿宋_GB2312" w:eastAsia="仿宋_GB2312" w:cs="宋体" w:hAnsiTheme="minorEastAsia"/>
          <w:sz w:val="24"/>
          <w:szCs w:val="24"/>
        </w:rPr>
        <w:t>外包方签字：                        考核人员签字：</w:t>
      </w:r>
    </w:p>
    <w:p>
      <w:pPr>
        <w:spacing w:line="360" w:lineRule="auto"/>
        <w:ind w:right="105"/>
        <w:jc w:val="both"/>
        <w:rPr>
          <w:rFonts w:cs="Times New Roman" w:asciiTheme="minorEastAsia" w:hAnsiTheme="minorEastAsia" w:eastAsiaTheme="minorEastAsia"/>
          <w:b/>
          <w:bCs/>
          <w:color w:val="000000"/>
          <w:spacing w:val="18"/>
          <w:sz w:val="28"/>
          <w:szCs w:val="28"/>
        </w:rPr>
      </w:pPr>
    </w:p>
    <w:p>
      <w:pPr>
        <w:pStyle w:val="10"/>
        <w:adjustRightInd w:val="0"/>
        <w:snapToGrid w:val="0"/>
        <w:spacing w:after="240" w:afterLines="100" w:line="560" w:lineRule="exact"/>
        <w:jc w:val="center"/>
        <w:rPr>
          <w:rFonts w:ascii="仿宋_GB2312" w:eastAsia="仿宋_GB2312" w:cs="宋体" w:hAnsiTheme="minorEastAsia"/>
          <w:b/>
          <w:sz w:val="24"/>
        </w:rPr>
      </w:pPr>
      <w:r>
        <w:rPr>
          <w:rFonts w:hint="eastAsia" w:ascii="仿宋_GB2312" w:eastAsia="仿宋_GB2312" w:cs="宋体" w:hAnsiTheme="minorEastAsia"/>
          <w:b/>
          <w:sz w:val="24"/>
        </w:rPr>
        <w:t>绿化养护情况检查表</w:t>
      </w:r>
    </w:p>
    <w:tbl>
      <w:tblPr>
        <w:tblStyle w:val="15"/>
        <w:tblW w:w="81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489"/>
        <w:gridCol w:w="461"/>
        <w:gridCol w:w="502"/>
        <w:gridCol w:w="467"/>
        <w:gridCol w:w="7"/>
        <w:gridCol w:w="481"/>
        <w:gridCol w:w="461"/>
        <w:gridCol w:w="461"/>
        <w:gridCol w:w="502"/>
        <w:gridCol w:w="558"/>
        <w:gridCol w:w="577"/>
        <w:gridCol w:w="614"/>
        <w:gridCol w:w="461"/>
        <w:gridCol w:w="483"/>
        <w:gridCol w:w="498"/>
        <w:gridCol w:w="7"/>
        <w:gridCol w:w="489"/>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dxa"/>
          <w:trHeight w:val="960" w:hRule="atLeast"/>
          <w:jc w:val="center"/>
        </w:trPr>
        <w:tc>
          <w:tcPr>
            <w:tcW w:w="648" w:type="dxa"/>
            <w:vMerge w:val="restart"/>
            <w:tcBorders>
              <w:top w:val="single" w:color="auto" w:sz="4" w:space="0"/>
              <w:left w:val="single" w:color="auto" w:sz="4" w:space="0"/>
              <w:right w:val="single" w:color="auto" w:sz="4" w:space="0"/>
              <w:tl2br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控制指标</w:t>
            </w:r>
          </w:p>
          <w:p>
            <w:pPr>
              <w:jc w:val="both"/>
              <w:rPr>
                <w:rFonts w:ascii="仿宋_GB2312" w:eastAsia="仿宋_GB2312" w:hAnsiTheme="minorEastAsia"/>
                <w:sz w:val="24"/>
              </w:rPr>
            </w:pPr>
          </w:p>
          <w:p>
            <w:pPr>
              <w:jc w:val="both"/>
              <w:rPr>
                <w:rFonts w:ascii="仿宋_GB2312" w:eastAsia="仿宋_GB2312" w:hAnsiTheme="minorEastAsia"/>
                <w:sz w:val="24"/>
              </w:rPr>
            </w:pPr>
            <w:r>
              <w:rPr>
                <w:rFonts w:hint="eastAsia" w:ascii="仿宋_GB2312" w:eastAsia="仿宋_GB2312" w:hAnsiTheme="minorEastAsia"/>
                <w:sz w:val="24"/>
              </w:rPr>
              <w:t>检查区域</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hAnsiTheme="minorEastAsia"/>
                <w:sz w:val="24"/>
              </w:rPr>
            </w:pPr>
            <w:r>
              <w:rPr>
                <w:rFonts w:hint="eastAsia" w:ascii="仿宋_GB2312" w:eastAsia="仿宋_GB2312" w:hAnsiTheme="minorEastAsia"/>
                <w:sz w:val="24"/>
              </w:rPr>
              <w:t>树木</w:t>
            </w:r>
          </w:p>
          <w:p>
            <w:pPr>
              <w:jc w:val="center"/>
              <w:rPr>
                <w:rFonts w:ascii="仿宋_GB2312" w:eastAsia="仿宋_GB2312" w:hAnsiTheme="minorEastAsia"/>
                <w:sz w:val="24"/>
              </w:rPr>
            </w:pPr>
            <w:r>
              <w:rPr>
                <w:rFonts w:hint="eastAsia" w:ascii="仿宋_GB2312" w:eastAsia="仿宋_GB2312" w:hAnsiTheme="minorEastAsia"/>
                <w:sz w:val="24"/>
              </w:rPr>
              <w:t>种植</w:t>
            </w:r>
          </w:p>
        </w:tc>
        <w:tc>
          <w:tcPr>
            <w:tcW w:w="969" w:type="dxa"/>
            <w:gridSpan w:val="2"/>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树木</w:t>
            </w:r>
          </w:p>
          <w:p>
            <w:pPr>
              <w:jc w:val="both"/>
              <w:rPr>
                <w:rFonts w:ascii="仿宋_GB2312" w:eastAsia="仿宋_GB2312" w:hAnsiTheme="minorEastAsia"/>
                <w:sz w:val="24"/>
              </w:rPr>
            </w:pPr>
            <w:r>
              <w:rPr>
                <w:rFonts w:hint="eastAsia" w:ascii="仿宋_GB2312" w:eastAsia="仿宋_GB2312" w:hAnsiTheme="minorEastAsia"/>
                <w:sz w:val="24"/>
              </w:rPr>
              <w:t>移植</w:t>
            </w:r>
          </w:p>
        </w:tc>
        <w:tc>
          <w:tcPr>
            <w:tcW w:w="949" w:type="dxa"/>
            <w:gridSpan w:val="3"/>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植物</w:t>
            </w:r>
          </w:p>
          <w:p>
            <w:pPr>
              <w:jc w:val="both"/>
              <w:rPr>
                <w:rFonts w:ascii="仿宋_GB2312" w:eastAsia="仿宋_GB2312" w:hAnsiTheme="minorEastAsia"/>
                <w:sz w:val="24"/>
              </w:rPr>
            </w:pPr>
            <w:r>
              <w:rPr>
                <w:rFonts w:hint="eastAsia" w:ascii="仿宋_GB2312" w:eastAsia="仿宋_GB2312" w:hAnsiTheme="minorEastAsia"/>
                <w:sz w:val="24"/>
              </w:rPr>
              <w:t>修剪</w:t>
            </w:r>
          </w:p>
        </w:tc>
        <w:tc>
          <w:tcPr>
            <w:tcW w:w="963" w:type="dxa"/>
            <w:gridSpan w:val="2"/>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绿篱</w:t>
            </w:r>
          </w:p>
          <w:p>
            <w:pPr>
              <w:jc w:val="both"/>
              <w:rPr>
                <w:rFonts w:ascii="仿宋_GB2312" w:eastAsia="仿宋_GB2312" w:hAnsiTheme="minorEastAsia"/>
                <w:sz w:val="24"/>
              </w:rPr>
            </w:pPr>
            <w:r>
              <w:rPr>
                <w:rFonts w:hint="eastAsia" w:ascii="仿宋_GB2312" w:eastAsia="仿宋_GB2312" w:hAnsiTheme="minorEastAsia"/>
                <w:sz w:val="24"/>
              </w:rPr>
              <w:t>修剪</w:t>
            </w:r>
          </w:p>
        </w:tc>
        <w:tc>
          <w:tcPr>
            <w:tcW w:w="558"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 xml:space="preserve">浇 水 </w:t>
            </w:r>
          </w:p>
          <w:p>
            <w:pPr>
              <w:jc w:val="both"/>
              <w:rPr>
                <w:rFonts w:ascii="仿宋_GB2312" w:eastAsia="仿宋_GB2312" w:hAnsiTheme="minorEastAsia"/>
                <w:sz w:val="24"/>
              </w:rPr>
            </w:pPr>
            <w:r>
              <w:rPr>
                <w:rFonts w:hint="eastAsia" w:ascii="仿宋_GB2312" w:eastAsia="仿宋_GB2312" w:hAnsiTheme="minorEastAsia"/>
                <w:sz w:val="24"/>
              </w:rPr>
              <w:t>施 肥</w:t>
            </w:r>
          </w:p>
        </w:tc>
        <w:tc>
          <w:tcPr>
            <w:tcW w:w="2135" w:type="dxa"/>
            <w:gridSpan w:val="4"/>
            <w:tcBorders>
              <w:top w:val="single" w:color="auto" w:sz="4" w:space="0"/>
              <w:left w:val="single" w:color="000000" w:sz="4" w:space="0"/>
              <w:bottom w:val="single" w:color="auto" w:sz="4" w:space="0"/>
              <w:right w:val="single" w:color="auto" w:sz="4" w:space="0"/>
            </w:tcBorders>
            <w:vAlign w:val="center"/>
          </w:tcPr>
          <w:p>
            <w:pPr>
              <w:jc w:val="center"/>
              <w:rPr>
                <w:rFonts w:ascii="仿宋_GB2312" w:eastAsia="仿宋_GB2312" w:hAnsiTheme="minorEastAsia"/>
                <w:sz w:val="24"/>
              </w:rPr>
            </w:pPr>
            <w:r>
              <w:rPr>
                <w:rFonts w:hint="eastAsia" w:ascii="仿宋_GB2312" w:eastAsia="仿宋_GB2312" w:hAnsiTheme="minorEastAsia"/>
                <w:sz w:val="24"/>
              </w:rPr>
              <w:t>草坪养护</w:t>
            </w:r>
          </w:p>
        </w:tc>
        <w:tc>
          <w:tcPr>
            <w:tcW w:w="994" w:type="dxa"/>
            <w:gridSpan w:val="3"/>
            <w:tcBorders>
              <w:top w:val="single" w:color="auto" w:sz="4" w:space="0"/>
              <w:left w:val="single" w:color="000000" w:sz="4" w:space="0"/>
              <w:bottom w:val="single" w:color="auto" w:sz="4" w:space="0"/>
              <w:right w:val="single" w:color="auto" w:sz="4" w:space="0"/>
            </w:tcBorders>
            <w:vAlign w:val="center"/>
          </w:tcPr>
          <w:p>
            <w:pPr>
              <w:jc w:val="center"/>
              <w:rPr>
                <w:rFonts w:ascii="仿宋_GB2312" w:eastAsia="仿宋_GB2312" w:hAnsiTheme="minorEastAsia"/>
                <w:sz w:val="24"/>
              </w:rPr>
            </w:pPr>
            <w:r>
              <w:rPr>
                <w:rFonts w:hint="eastAsia" w:ascii="仿宋_GB2312" w:eastAsia="仿宋_GB2312" w:hAnsiTheme="minorEastAsia"/>
                <w:sz w:val="24"/>
              </w:rPr>
              <w:t>病虫害防治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jc w:val="center"/>
        </w:trPr>
        <w:tc>
          <w:tcPr>
            <w:tcW w:w="648" w:type="dxa"/>
            <w:vMerge w:val="continue"/>
            <w:tcBorders>
              <w:top w:val="nil"/>
              <w:left w:val="single" w:color="auto" w:sz="4" w:space="0"/>
              <w:bottom w:val="single" w:color="auto" w:sz="4" w:space="0"/>
              <w:right w:val="single" w:color="auto" w:sz="4" w:space="0"/>
            </w:tcBorders>
            <w:vAlign w:val="center"/>
          </w:tcPr>
          <w:p>
            <w:pPr>
              <w:jc w:val="both"/>
              <w:rPr>
                <w:rFonts w:ascii="仿宋_GB2312" w:eastAsia="仿宋_GB2312" w:hAnsiTheme="minorEastAsia"/>
                <w:sz w:val="24"/>
              </w:rPr>
            </w:pPr>
          </w:p>
        </w:tc>
        <w:tc>
          <w:tcPr>
            <w:tcW w:w="489" w:type="dxa"/>
            <w:tcBorders>
              <w:top w:val="single" w:color="auto" w:sz="4" w:space="0"/>
              <w:left w:val="single" w:color="auto" w:sz="4" w:space="0"/>
              <w:bottom w:val="single" w:color="000000"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成活率</w:t>
            </w:r>
          </w:p>
        </w:tc>
        <w:tc>
          <w:tcPr>
            <w:tcW w:w="461"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防护措施</w:t>
            </w:r>
          </w:p>
        </w:tc>
        <w:tc>
          <w:tcPr>
            <w:tcW w:w="502"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成活率</w:t>
            </w:r>
          </w:p>
        </w:tc>
        <w:tc>
          <w:tcPr>
            <w:tcW w:w="467"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防护措施</w:t>
            </w:r>
          </w:p>
          <w:p>
            <w:pPr>
              <w:jc w:val="both"/>
              <w:rPr>
                <w:rFonts w:ascii="仿宋_GB2312" w:eastAsia="仿宋_GB2312" w:hAnsiTheme="minorEastAsia"/>
                <w:sz w:val="24"/>
              </w:rPr>
            </w:pPr>
          </w:p>
        </w:tc>
        <w:tc>
          <w:tcPr>
            <w:tcW w:w="488" w:type="dxa"/>
            <w:gridSpan w:val="2"/>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病枯枝修剪</w:t>
            </w:r>
          </w:p>
        </w:tc>
        <w:tc>
          <w:tcPr>
            <w:tcW w:w="461" w:type="dxa"/>
            <w:tcBorders>
              <w:top w:val="single" w:color="auto" w:sz="4" w:space="0"/>
              <w:left w:val="single" w:color="000000" w:sz="4" w:space="0"/>
              <w:bottom w:val="single" w:color="auto" w:sz="4" w:space="0"/>
              <w:right w:val="single" w:color="auto" w:sz="4" w:space="0"/>
            </w:tcBorders>
            <w:vAlign w:val="center"/>
          </w:tcPr>
          <w:p>
            <w:pPr>
              <w:widowControl/>
              <w:jc w:val="both"/>
              <w:rPr>
                <w:rFonts w:ascii="仿宋_GB2312" w:eastAsia="仿宋_GB2312" w:hAnsiTheme="minorEastAsia"/>
                <w:sz w:val="24"/>
              </w:rPr>
            </w:pPr>
          </w:p>
          <w:p>
            <w:pPr>
              <w:widowControl/>
              <w:jc w:val="both"/>
              <w:rPr>
                <w:rFonts w:ascii="仿宋_GB2312" w:eastAsia="仿宋_GB2312" w:hAnsiTheme="minorEastAsia"/>
                <w:sz w:val="24"/>
              </w:rPr>
            </w:pPr>
            <w:r>
              <w:rPr>
                <w:rFonts w:hint="eastAsia" w:ascii="仿宋_GB2312" w:eastAsia="仿宋_GB2312" w:hAnsiTheme="minorEastAsia"/>
                <w:sz w:val="24"/>
              </w:rPr>
              <w:t>整体造型</w:t>
            </w:r>
          </w:p>
          <w:p>
            <w:pPr>
              <w:jc w:val="both"/>
              <w:rPr>
                <w:rFonts w:ascii="仿宋_GB2312" w:eastAsia="仿宋_GB2312" w:hAnsiTheme="minorEastAsia"/>
                <w:sz w:val="24"/>
              </w:rPr>
            </w:pPr>
          </w:p>
        </w:tc>
        <w:tc>
          <w:tcPr>
            <w:tcW w:w="461"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平整度</w:t>
            </w:r>
          </w:p>
        </w:tc>
        <w:tc>
          <w:tcPr>
            <w:tcW w:w="502"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球形光滑度</w:t>
            </w:r>
          </w:p>
        </w:tc>
        <w:tc>
          <w:tcPr>
            <w:tcW w:w="558"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及时性</w:t>
            </w:r>
          </w:p>
        </w:tc>
        <w:tc>
          <w:tcPr>
            <w:tcW w:w="577"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均匀度</w:t>
            </w:r>
          </w:p>
        </w:tc>
        <w:tc>
          <w:tcPr>
            <w:tcW w:w="614"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杂草除清</w:t>
            </w:r>
          </w:p>
        </w:tc>
        <w:tc>
          <w:tcPr>
            <w:tcW w:w="461" w:type="dxa"/>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平整度</w:t>
            </w:r>
          </w:p>
        </w:tc>
        <w:tc>
          <w:tcPr>
            <w:tcW w:w="483" w:type="dxa"/>
            <w:tcBorders>
              <w:top w:val="single" w:color="auto" w:sz="4" w:space="0"/>
              <w:left w:val="single" w:color="000000" w:sz="4" w:space="0"/>
              <w:bottom w:val="single" w:color="auto" w:sz="4" w:space="0"/>
              <w:right w:val="single" w:color="auto" w:sz="4" w:space="0"/>
            </w:tcBorders>
            <w:vAlign w:val="center"/>
          </w:tcPr>
          <w:p>
            <w:pPr>
              <w:widowControl/>
              <w:jc w:val="both"/>
              <w:rPr>
                <w:rFonts w:ascii="仿宋_GB2312" w:eastAsia="仿宋_GB2312" w:hAnsiTheme="minorEastAsia"/>
                <w:sz w:val="24"/>
              </w:rPr>
            </w:pPr>
          </w:p>
          <w:p>
            <w:pPr>
              <w:widowControl/>
              <w:jc w:val="both"/>
              <w:rPr>
                <w:rFonts w:ascii="仿宋_GB2312" w:eastAsia="仿宋_GB2312" w:hAnsiTheme="minorEastAsia"/>
                <w:sz w:val="24"/>
              </w:rPr>
            </w:pPr>
            <w:r>
              <w:rPr>
                <w:rFonts w:hint="eastAsia" w:ascii="仿宋_GB2312" w:eastAsia="仿宋_GB2312" w:hAnsiTheme="minorEastAsia"/>
                <w:sz w:val="24"/>
              </w:rPr>
              <w:t>覆盖度</w:t>
            </w:r>
          </w:p>
          <w:p>
            <w:pPr>
              <w:jc w:val="both"/>
              <w:rPr>
                <w:rFonts w:ascii="仿宋_GB2312" w:eastAsia="仿宋_GB2312" w:hAnsiTheme="minorEastAsia"/>
                <w:sz w:val="24"/>
              </w:rPr>
            </w:pPr>
          </w:p>
        </w:tc>
        <w:tc>
          <w:tcPr>
            <w:tcW w:w="505" w:type="dxa"/>
            <w:gridSpan w:val="2"/>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主干</w:t>
            </w:r>
          </w:p>
        </w:tc>
        <w:tc>
          <w:tcPr>
            <w:tcW w:w="496" w:type="dxa"/>
            <w:gridSpan w:val="2"/>
            <w:tcBorders>
              <w:top w:val="single" w:color="auto" w:sz="4" w:space="0"/>
              <w:left w:val="single" w:color="000000" w:sz="4" w:space="0"/>
              <w:bottom w:val="single" w:color="auto" w:sz="4" w:space="0"/>
              <w:right w:val="single" w:color="auto"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叶部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48" w:type="dxa"/>
            <w:tcBorders>
              <w:top w:val="single" w:color="auto" w:sz="4" w:space="0"/>
              <w:left w:val="single" w:color="auto" w:sz="4" w:space="0"/>
              <w:bottom w:val="single" w:color="auto" w:sz="4" w:space="0"/>
              <w:right w:val="single" w:color="000000"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6</w:t>
            </w:r>
          </w:p>
        </w:tc>
        <w:tc>
          <w:tcPr>
            <w:tcW w:w="489"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461"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74" w:type="dxa"/>
            <w:gridSpan w:val="2"/>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5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77"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614" w:type="dxa"/>
            <w:tcBorders>
              <w:top w:val="single" w:color="auto" w:sz="4" w:space="0"/>
              <w:bottom w:val="single" w:color="auto" w:sz="4" w:space="0"/>
              <w:right w:val="single" w:color="auto" w:sz="4" w:space="0"/>
            </w:tcBorders>
            <w:shd w:val="clear" w:color="auto" w:fill="auto"/>
          </w:tcPr>
          <w:p>
            <w:pPr>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3"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9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3" w:type="dxa"/>
            <w:gridSpan w:val="3"/>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48" w:type="dxa"/>
            <w:tcBorders>
              <w:top w:val="single" w:color="auto" w:sz="4" w:space="0"/>
              <w:left w:val="single" w:color="auto" w:sz="4" w:space="0"/>
              <w:bottom w:val="single" w:color="auto" w:sz="4" w:space="0"/>
              <w:right w:val="single" w:color="000000"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7</w:t>
            </w:r>
          </w:p>
        </w:tc>
        <w:tc>
          <w:tcPr>
            <w:tcW w:w="489"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461"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74" w:type="dxa"/>
            <w:gridSpan w:val="2"/>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5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77"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614"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3"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9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3" w:type="dxa"/>
            <w:gridSpan w:val="3"/>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48" w:type="dxa"/>
            <w:tcBorders>
              <w:top w:val="single" w:color="auto" w:sz="4" w:space="0"/>
              <w:left w:val="single" w:color="auto" w:sz="4" w:space="0"/>
              <w:bottom w:val="single" w:color="auto" w:sz="4" w:space="0"/>
              <w:right w:val="single" w:color="000000"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8</w:t>
            </w:r>
          </w:p>
        </w:tc>
        <w:tc>
          <w:tcPr>
            <w:tcW w:w="489"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461"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74" w:type="dxa"/>
            <w:gridSpan w:val="2"/>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5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77"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614"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3"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9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3" w:type="dxa"/>
            <w:gridSpan w:val="3"/>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48" w:type="dxa"/>
            <w:tcBorders>
              <w:top w:val="single" w:color="auto" w:sz="4" w:space="0"/>
              <w:left w:val="single" w:color="auto" w:sz="4" w:space="0"/>
              <w:bottom w:val="single" w:color="auto" w:sz="4" w:space="0"/>
              <w:right w:val="single" w:color="000000"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9</w:t>
            </w:r>
          </w:p>
        </w:tc>
        <w:tc>
          <w:tcPr>
            <w:tcW w:w="489"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461"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74" w:type="dxa"/>
            <w:gridSpan w:val="2"/>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5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77"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614"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3"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9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3" w:type="dxa"/>
            <w:gridSpan w:val="3"/>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648" w:type="dxa"/>
            <w:tcBorders>
              <w:top w:val="single" w:color="auto" w:sz="4" w:space="0"/>
              <w:left w:val="single" w:color="auto" w:sz="4" w:space="0"/>
              <w:bottom w:val="single" w:color="auto" w:sz="4" w:space="0"/>
              <w:right w:val="single" w:color="000000"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10</w:t>
            </w:r>
          </w:p>
        </w:tc>
        <w:tc>
          <w:tcPr>
            <w:tcW w:w="489"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461"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74" w:type="dxa"/>
            <w:gridSpan w:val="2"/>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5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77"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614"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3"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9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3" w:type="dxa"/>
            <w:gridSpan w:val="3"/>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648" w:type="dxa"/>
            <w:tcBorders>
              <w:top w:val="single" w:color="auto" w:sz="4" w:space="0"/>
              <w:left w:val="single" w:color="auto" w:sz="4" w:space="0"/>
              <w:bottom w:val="single" w:color="auto" w:sz="4" w:space="0"/>
              <w:right w:val="single" w:color="000000" w:sz="4" w:space="0"/>
            </w:tcBorders>
            <w:vAlign w:val="center"/>
          </w:tcPr>
          <w:p>
            <w:pPr>
              <w:jc w:val="both"/>
              <w:rPr>
                <w:rFonts w:ascii="仿宋_GB2312" w:eastAsia="仿宋_GB2312" w:hAnsiTheme="minorEastAsia"/>
                <w:sz w:val="24"/>
              </w:rPr>
            </w:pPr>
            <w:r>
              <w:rPr>
                <w:rFonts w:hint="eastAsia" w:ascii="仿宋_GB2312" w:eastAsia="仿宋_GB2312" w:hAnsiTheme="minorEastAsia"/>
                <w:sz w:val="24"/>
              </w:rPr>
              <w:t>备注</w:t>
            </w:r>
          </w:p>
        </w:tc>
        <w:tc>
          <w:tcPr>
            <w:tcW w:w="489"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461" w:type="dxa"/>
            <w:tcBorders>
              <w:top w:val="single" w:color="000000" w:sz="4" w:space="0"/>
              <w:left w:val="single" w:color="000000" w:sz="4" w:space="0"/>
              <w:bottom w:val="single" w:color="000000" w:sz="4" w:space="0"/>
              <w:right w:val="single" w:color="000000" w:sz="4" w:space="0"/>
            </w:tcBorders>
            <w:vAlign w:val="center"/>
          </w:tcPr>
          <w:p>
            <w:pPr>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74" w:type="dxa"/>
            <w:gridSpan w:val="2"/>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2"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5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77"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614"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61"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83"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498" w:type="dxa"/>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c>
          <w:tcPr>
            <w:tcW w:w="503" w:type="dxa"/>
            <w:gridSpan w:val="3"/>
            <w:tcBorders>
              <w:top w:val="single" w:color="auto" w:sz="4" w:space="0"/>
              <w:bottom w:val="single" w:color="auto" w:sz="4" w:space="0"/>
              <w:right w:val="single" w:color="auto" w:sz="4" w:space="0"/>
            </w:tcBorders>
            <w:shd w:val="clear" w:color="auto" w:fill="auto"/>
          </w:tcPr>
          <w:p>
            <w:pPr>
              <w:widowControl/>
              <w:jc w:val="both"/>
              <w:rPr>
                <w:rFonts w:ascii="仿宋_GB2312" w:eastAsia="仿宋_GB2312" w:hAnsiTheme="minorEastAsia"/>
                <w:sz w:val="24"/>
              </w:rPr>
            </w:pPr>
          </w:p>
        </w:tc>
      </w:tr>
    </w:tbl>
    <w:p>
      <w:pPr>
        <w:spacing w:line="360" w:lineRule="auto"/>
        <w:ind w:right="105"/>
        <w:jc w:val="both"/>
        <w:rPr>
          <w:rFonts w:ascii="仿宋_GB2312" w:eastAsia="仿宋_GB2312" w:hAnsiTheme="minorEastAsia"/>
          <w:b/>
          <w:sz w:val="24"/>
          <w:szCs w:val="24"/>
        </w:rPr>
      </w:pPr>
      <w:r>
        <w:rPr>
          <w:rFonts w:hint="eastAsia" w:ascii="仿宋_GB2312" w:eastAsia="仿宋_GB2312" w:hAnsiTheme="minorEastAsia"/>
          <w:b/>
          <w:sz w:val="24"/>
          <w:szCs w:val="24"/>
        </w:rPr>
        <w:t>注：但凡出现率的指标，以问题数量和总计数量为基数进行计算，其他指标以是否存在或完成进行√勾选，出现×说明工作需要改进，在备注栏注明原因。</w:t>
      </w:r>
    </w:p>
    <w:p>
      <w:pPr>
        <w:widowControl/>
        <w:autoSpaceDE/>
        <w:autoSpaceDN/>
        <w:jc w:val="both"/>
        <w:rPr>
          <w:color w:val="000000" w:themeColor="text1"/>
          <w:sz w:val="24"/>
          <w:szCs w:val="24"/>
        </w:rPr>
      </w:pPr>
      <w:r>
        <w:rPr>
          <w:color w:val="000000" w:themeColor="text1"/>
          <w:sz w:val="24"/>
          <w:szCs w:val="24"/>
        </w:rPr>
        <w:br w:type="page"/>
      </w:r>
    </w:p>
    <w:p>
      <w:pPr>
        <w:pStyle w:val="9"/>
        <w:spacing w:line="360" w:lineRule="auto"/>
        <w:jc w:val="both"/>
        <w:rPr>
          <w:rFonts w:asciiTheme="minorEastAsia" w:hAnsiTheme="minorEastAsia" w:cstheme="minorEastAsia"/>
          <w:color w:val="000000" w:themeColor="text1"/>
          <w:sz w:val="24"/>
          <w:szCs w:val="24"/>
          <w:lang w:val="en-US"/>
        </w:rPr>
      </w:pPr>
      <w:r>
        <w:rPr>
          <w:rFonts w:hint="eastAsia"/>
          <w:color w:val="000000" w:themeColor="text1"/>
          <w:sz w:val="24"/>
          <w:szCs w:val="24"/>
        </w:rPr>
        <w:t>附件</w:t>
      </w:r>
      <w:r>
        <w:rPr>
          <w:rFonts w:hint="eastAsia"/>
          <w:color w:val="000000" w:themeColor="text1"/>
          <w:w w:val="105"/>
          <w:sz w:val="24"/>
          <w:szCs w:val="24"/>
          <w:lang w:val="en-US"/>
        </w:rPr>
        <w:t>四</w:t>
      </w:r>
      <w:r>
        <w:rPr>
          <w:rFonts w:hint="eastAsia"/>
          <w:color w:val="000000" w:themeColor="text1"/>
          <w:w w:val="105"/>
          <w:sz w:val="24"/>
          <w:szCs w:val="24"/>
        </w:rPr>
        <w:t>、</w:t>
      </w:r>
      <w:r>
        <w:rPr>
          <w:rFonts w:hint="eastAsia"/>
          <w:color w:val="000000" w:themeColor="text1"/>
          <w:w w:val="105"/>
          <w:sz w:val="24"/>
          <w:szCs w:val="24"/>
          <w:lang w:val="en-US"/>
        </w:rPr>
        <w:t>工作量清单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2123"/>
        <w:gridCol w:w="2537"/>
        <w:gridCol w:w="1154"/>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序号</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名称</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规格</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单位</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1</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胸径＜5cm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3565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2</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5cm≤胸径＜10cm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3</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10cm≤胸径＜15cm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4</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15cm≤胸径＜20cm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5</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20cm≤胸径＜30cm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6</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30cm≤胸径＜40cm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7</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乔木（常绿）</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胸径≥40cm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8</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乔木（落叶）</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胸径＜10cm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9</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乔木（落叶）</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10cm≤胸径＜15cm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10</w:t>
            </w:r>
          </w:p>
        </w:tc>
        <w:tc>
          <w:tcPr>
            <w:tcW w:w="2123" w:type="dxa"/>
            <w:vAlign w:val="center"/>
          </w:tcPr>
          <w:p>
            <w:pPr>
              <w:jc w:val="center"/>
              <w:rPr>
                <w:color w:val="000000" w:themeColor="text1"/>
                <w:w w:val="105"/>
                <w:sz w:val="24"/>
                <w:szCs w:val="24"/>
              </w:rPr>
            </w:pPr>
            <w:r>
              <w:rPr>
                <w:rFonts w:hint="eastAsia"/>
                <w:color w:val="000000" w:themeColor="text1"/>
                <w:w w:val="105"/>
                <w:sz w:val="24"/>
                <w:szCs w:val="24"/>
              </w:rPr>
              <w:t>乔木（落叶）</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15cm≤胸径＜20cm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11</w:t>
            </w:r>
          </w:p>
        </w:tc>
        <w:tc>
          <w:tcPr>
            <w:tcW w:w="2123" w:type="dxa"/>
            <w:vAlign w:val="center"/>
          </w:tcPr>
          <w:p>
            <w:pPr>
              <w:jc w:val="center"/>
              <w:rPr>
                <w:color w:val="000000" w:themeColor="text1"/>
                <w:w w:val="105"/>
                <w:sz w:val="24"/>
                <w:szCs w:val="24"/>
              </w:rPr>
            </w:pPr>
            <w:r>
              <w:rPr>
                <w:rFonts w:hint="eastAsia"/>
                <w:color w:val="000000" w:themeColor="text1"/>
                <w:w w:val="105"/>
                <w:sz w:val="24"/>
                <w:szCs w:val="24"/>
              </w:rPr>
              <w:t>乔木（落叶）</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20cm≤胸径＜30cm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12</w:t>
            </w:r>
          </w:p>
        </w:tc>
        <w:tc>
          <w:tcPr>
            <w:tcW w:w="2123" w:type="dxa"/>
            <w:vAlign w:val="center"/>
          </w:tcPr>
          <w:p>
            <w:pPr>
              <w:jc w:val="center"/>
              <w:rPr>
                <w:color w:val="000000" w:themeColor="text1"/>
                <w:w w:val="105"/>
                <w:sz w:val="24"/>
                <w:szCs w:val="24"/>
              </w:rPr>
            </w:pPr>
            <w:r>
              <w:rPr>
                <w:rFonts w:hint="eastAsia"/>
                <w:color w:val="000000" w:themeColor="text1"/>
                <w:w w:val="105"/>
                <w:sz w:val="24"/>
                <w:szCs w:val="24"/>
              </w:rPr>
              <w:t>乔木（落叶）</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30cm≤胸径＜40cm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13</w:t>
            </w:r>
          </w:p>
        </w:tc>
        <w:tc>
          <w:tcPr>
            <w:tcW w:w="2123" w:type="dxa"/>
            <w:vAlign w:val="center"/>
          </w:tcPr>
          <w:p>
            <w:pPr>
              <w:jc w:val="center"/>
              <w:rPr>
                <w:color w:val="000000" w:themeColor="text1"/>
                <w:w w:val="105"/>
                <w:sz w:val="24"/>
                <w:szCs w:val="24"/>
              </w:rPr>
            </w:pPr>
            <w:r>
              <w:rPr>
                <w:rFonts w:hint="eastAsia"/>
                <w:color w:val="000000" w:themeColor="text1"/>
                <w:w w:val="105"/>
                <w:sz w:val="24"/>
                <w:szCs w:val="24"/>
              </w:rPr>
              <w:t>乔木（落叶）</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胸径≥40cm</w:t>
            </w: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株</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14</w:t>
            </w:r>
          </w:p>
        </w:tc>
        <w:tc>
          <w:tcPr>
            <w:tcW w:w="2123" w:type="dxa"/>
            <w:vAlign w:val="center"/>
          </w:tcPr>
          <w:p>
            <w:pPr>
              <w:jc w:val="center"/>
              <w:rPr>
                <w:color w:val="000000" w:themeColor="text1"/>
                <w:w w:val="105"/>
                <w:sz w:val="24"/>
                <w:szCs w:val="24"/>
              </w:rPr>
            </w:pPr>
            <w:r>
              <w:rPr>
                <w:rFonts w:hint="eastAsia"/>
                <w:color w:val="000000" w:themeColor="text1"/>
                <w:w w:val="105"/>
                <w:sz w:val="24"/>
                <w:szCs w:val="24"/>
              </w:rPr>
              <w:t>地被（</w:t>
            </w:r>
            <w:r>
              <w:rPr>
                <w:rFonts w:hint="eastAsia"/>
                <w:color w:val="000000" w:themeColor="text1"/>
                <w:w w:val="105"/>
                <w:sz w:val="24"/>
                <w:szCs w:val="24"/>
                <w:lang w:val="en-US"/>
              </w:rPr>
              <w:t>含绿篱</w:t>
            </w:r>
            <w:r>
              <w:rPr>
                <w:rFonts w:hint="eastAsia"/>
                <w:color w:val="000000" w:themeColor="text1"/>
                <w:w w:val="105"/>
                <w:sz w:val="24"/>
                <w:szCs w:val="24"/>
              </w:rPr>
              <w:t>）</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28794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15</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竹类</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lang w:val="en-US"/>
              </w:rPr>
              <w:t>8870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16</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草坪</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18252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Align w:val="center"/>
          </w:tcPr>
          <w:p>
            <w:pPr>
              <w:pStyle w:val="10"/>
              <w:adjustRightInd w:val="0"/>
              <w:snapToGrid w:val="0"/>
              <w:spacing w:line="560" w:lineRule="exact"/>
              <w:jc w:val="center"/>
              <w:rPr>
                <w:rFonts w:hAnsi="宋体" w:cs="宋体"/>
                <w:color w:val="000000" w:themeColor="text1"/>
                <w:w w:val="105"/>
                <w:sz w:val="24"/>
                <w:szCs w:val="24"/>
                <w:lang w:val="en-US"/>
              </w:rPr>
            </w:pPr>
            <w:r>
              <w:rPr>
                <w:rFonts w:hint="eastAsia" w:hAnsi="宋体" w:cs="宋体"/>
                <w:color w:val="000000" w:themeColor="text1"/>
                <w:w w:val="105"/>
                <w:sz w:val="24"/>
                <w:szCs w:val="24"/>
                <w:lang w:val="en-US"/>
              </w:rPr>
              <w:t>1</w:t>
            </w:r>
            <w:r>
              <w:rPr>
                <w:rFonts w:hAnsi="宋体" w:cs="宋体"/>
                <w:color w:val="000000" w:themeColor="text1"/>
                <w:w w:val="105"/>
                <w:sz w:val="24"/>
                <w:szCs w:val="24"/>
                <w:lang w:val="en-US"/>
              </w:rPr>
              <w:t>7</w:t>
            </w:r>
          </w:p>
        </w:tc>
        <w:tc>
          <w:tcPr>
            <w:tcW w:w="2123"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裸土</w:t>
            </w:r>
          </w:p>
        </w:tc>
        <w:tc>
          <w:tcPr>
            <w:tcW w:w="2537" w:type="dxa"/>
            <w:vAlign w:val="center"/>
          </w:tcPr>
          <w:p>
            <w:pPr>
              <w:pStyle w:val="10"/>
              <w:adjustRightInd w:val="0"/>
              <w:snapToGrid w:val="0"/>
              <w:spacing w:line="560" w:lineRule="exact"/>
              <w:jc w:val="center"/>
              <w:rPr>
                <w:rFonts w:hAnsi="宋体" w:cs="宋体"/>
                <w:color w:val="000000" w:themeColor="text1"/>
                <w:w w:val="105"/>
                <w:sz w:val="24"/>
                <w:szCs w:val="24"/>
              </w:rPr>
            </w:pPr>
          </w:p>
        </w:tc>
        <w:tc>
          <w:tcPr>
            <w:tcW w:w="1154"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int="eastAsia" w:hAnsi="宋体" w:cs="宋体"/>
                <w:color w:val="000000" w:themeColor="text1"/>
                <w:w w:val="105"/>
                <w:sz w:val="24"/>
                <w:szCs w:val="24"/>
              </w:rPr>
              <w:t>㎡</w:t>
            </w:r>
          </w:p>
        </w:tc>
        <w:tc>
          <w:tcPr>
            <w:tcW w:w="1290" w:type="dxa"/>
            <w:vAlign w:val="center"/>
          </w:tcPr>
          <w:p>
            <w:pPr>
              <w:pStyle w:val="10"/>
              <w:adjustRightInd w:val="0"/>
              <w:snapToGrid w:val="0"/>
              <w:spacing w:line="560" w:lineRule="exact"/>
              <w:jc w:val="center"/>
              <w:rPr>
                <w:rFonts w:hAnsi="宋体" w:cs="宋体"/>
                <w:color w:val="000000" w:themeColor="text1"/>
                <w:w w:val="105"/>
                <w:sz w:val="24"/>
                <w:szCs w:val="24"/>
              </w:rPr>
            </w:pPr>
            <w:r>
              <w:rPr>
                <w:rFonts w:hAnsi="宋体" w:cs="宋体"/>
                <w:color w:val="000000" w:themeColor="text1"/>
                <w:w w:val="105"/>
                <w:sz w:val="24"/>
                <w:szCs w:val="24"/>
              </w:rPr>
              <w:t>2260</w:t>
            </w:r>
          </w:p>
        </w:tc>
      </w:tr>
    </w:tbl>
    <w:p>
      <w:pPr>
        <w:jc w:val="both"/>
        <w:rPr>
          <w:rFonts w:ascii="仿宋_GB2312" w:eastAsia="仿宋_GB2312" w:hAnsiTheme="minorEastAsia"/>
          <w:sz w:val="24"/>
        </w:rPr>
      </w:pPr>
    </w:p>
    <w:p>
      <w:pPr>
        <w:jc w:val="both"/>
        <w:rPr>
          <w:rFonts w:ascii="仿宋_GB2312" w:eastAsia="仿宋_GB2312" w:hAnsiTheme="minorEastAsia"/>
          <w:sz w:val="24"/>
        </w:rPr>
      </w:pPr>
    </w:p>
    <w:p>
      <w:pPr>
        <w:jc w:val="both"/>
        <w:rPr>
          <w:rFonts w:ascii="仿宋_GB2312" w:eastAsia="仿宋_GB2312" w:hAnsiTheme="minorEastAsia"/>
          <w:sz w:val="24"/>
        </w:rPr>
      </w:pPr>
    </w:p>
    <w:p>
      <w:pPr>
        <w:jc w:val="both"/>
        <w:rPr>
          <w:rFonts w:ascii="仿宋_GB2312" w:eastAsia="仿宋_GB2312" w:hAnsiTheme="minorEastAsia"/>
          <w:sz w:val="24"/>
        </w:rPr>
      </w:pPr>
    </w:p>
    <w:p>
      <w:pPr>
        <w:jc w:val="both"/>
        <w:rPr>
          <w:rFonts w:ascii="仿宋_GB2312" w:eastAsia="仿宋_GB2312" w:hAnsiTheme="minorEastAsia"/>
          <w:sz w:val="24"/>
        </w:rPr>
      </w:pPr>
    </w:p>
    <w:p>
      <w:pPr>
        <w:jc w:val="both"/>
        <w:rPr>
          <w:rFonts w:ascii="仿宋_GB2312" w:eastAsia="仿宋_GB2312" w:hAnsiTheme="minorEastAsia"/>
          <w:sz w:val="24"/>
        </w:rPr>
      </w:pPr>
    </w:p>
    <w:p>
      <w:pPr>
        <w:pStyle w:val="9"/>
        <w:spacing w:line="360" w:lineRule="auto"/>
        <w:jc w:val="both"/>
        <w:rPr>
          <w:color w:val="000000" w:themeColor="text1"/>
          <w:w w:val="105"/>
          <w:sz w:val="24"/>
          <w:szCs w:val="24"/>
          <w:lang w:val="en-US"/>
        </w:rPr>
      </w:pPr>
      <w:r>
        <w:rPr>
          <w:color w:val="000000" w:themeColor="text1"/>
          <w:w w:val="105"/>
          <w:sz w:val="24"/>
          <w:szCs w:val="24"/>
          <w:lang w:val="en-US"/>
        </w:rPr>
        <w:t>东区地被灌木竹类分布图</w:t>
      </w:r>
    </w:p>
    <w:p>
      <w:pPr>
        <w:pStyle w:val="9"/>
        <w:spacing w:line="360" w:lineRule="auto"/>
        <w:jc w:val="both"/>
        <w:rPr>
          <w:color w:val="000000" w:themeColor="text1"/>
          <w:w w:val="105"/>
          <w:sz w:val="24"/>
          <w:szCs w:val="24"/>
          <w:lang w:val="en-US"/>
        </w:rPr>
      </w:pPr>
      <w:r>
        <w:rPr>
          <w:color w:val="000000" w:themeColor="text1"/>
          <w:w w:val="105"/>
          <w:sz w:val="24"/>
          <w:szCs w:val="24"/>
          <w:lang w:val="en-US" w:bidi="ar-SA"/>
        </w:rPr>
        <w:drawing>
          <wp:inline distT="0" distB="0" distL="0" distR="0">
            <wp:extent cx="5618480" cy="5113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8480" cy="5113655"/>
                    </a:xfrm>
                    <a:prstGeom prst="rect">
                      <a:avLst/>
                    </a:prstGeom>
                  </pic:spPr>
                </pic:pic>
              </a:graphicData>
            </a:graphic>
          </wp:inline>
        </w:drawing>
      </w:r>
    </w:p>
    <w:p>
      <w:pPr>
        <w:pStyle w:val="9"/>
        <w:spacing w:line="360" w:lineRule="auto"/>
        <w:jc w:val="both"/>
        <w:rPr>
          <w:color w:val="000000" w:themeColor="text1"/>
          <w:w w:val="105"/>
          <w:sz w:val="24"/>
          <w:szCs w:val="24"/>
          <w:lang w:val="en-US"/>
        </w:rPr>
      </w:pPr>
      <w:r>
        <w:rPr>
          <w:color w:val="000000" w:themeColor="text1"/>
          <w:w w:val="105"/>
          <w:sz w:val="24"/>
          <w:szCs w:val="24"/>
          <w:lang w:val="en-US"/>
        </w:rPr>
        <w:t>东区</w:t>
      </w:r>
      <w:r>
        <w:rPr>
          <w:rFonts w:hint="eastAsia"/>
          <w:color w:val="000000" w:themeColor="text1"/>
          <w:w w:val="105"/>
          <w:sz w:val="24"/>
          <w:szCs w:val="24"/>
          <w:lang w:val="en-US"/>
        </w:rPr>
        <w:t>小乔木</w:t>
      </w:r>
      <w:r>
        <w:rPr>
          <w:color w:val="000000" w:themeColor="text1"/>
          <w:w w:val="105"/>
          <w:sz w:val="24"/>
          <w:szCs w:val="24"/>
          <w:lang w:val="en-US"/>
        </w:rPr>
        <w:t>分布图</w:t>
      </w:r>
    </w:p>
    <w:p>
      <w:pPr>
        <w:pStyle w:val="9"/>
        <w:spacing w:line="360" w:lineRule="auto"/>
        <w:jc w:val="both"/>
        <w:rPr>
          <w:color w:val="000000" w:themeColor="text1"/>
          <w:w w:val="105"/>
          <w:sz w:val="24"/>
          <w:szCs w:val="24"/>
          <w:lang w:val="en-US"/>
        </w:rPr>
      </w:pPr>
      <w:r>
        <w:rPr>
          <w:color w:val="000000" w:themeColor="text1"/>
          <w:w w:val="105"/>
          <w:sz w:val="24"/>
          <w:szCs w:val="24"/>
          <w:lang w:val="en-US" w:bidi="ar-SA"/>
        </w:rPr>
        <w:drawing>
          <wp:inline distT="0" distB="0" distL="0" distR="0">
            <wp:extent cx="5618480" cy="5349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8480" cy="5349240"/>
                    </a:xfrm>
                    <a:prstGeom prst="rect">
                      <a:avLst/>
                    </a:prstGeom>
                  </pic:spPr>
                </pic:pic>
              </a:graphicData>
            </a:graphic>
          </wp:inline>
        </w:drawing>
      </w:r>
    </w:p>
    <w:p>
      <w:pPr>
        <w:pStyle w:val="9"/>
        <w:spacing w:line="360" w:lineRule="auto"/>
        <w:jc w:val="both"/>
        <w:rPr>
          <w:color w:val="000000" w:themeColor="text1"/>
          <w:w w:val="105"/>
          <w:sz w:val="24"/>
          <w:szCs w:val="24"/>
          <w:lang w:val="en-US"/>
        </w:rPr>
      </w:pPr>
      <w:r>
        <w:rPr>
          <w:color w:val="000000" w:themeColor="text1"/>
          <w:w w:val="105"/>
          <w:sz w:val="24"/>
          <w:szCs w:val="24"/>
          <w:lang w:val="en-US"/>
        </w:rPr>
        <w:t>东区</w:t>
      </w:r>
      <w:r>
        <w:rPr>
          <w:rFonts w:hint="eastAsia"/>
          <w:color w:val="000000" w:themeColor="text1"/>
          <w:w w:val="105"/>
          <w:sz w:val="24"/>
          <w:szCs w:val="24"/>
          <w:lang w:val="en-US"/>
        </w:rPr>
        <w:t>大乔木</w:t>
      </w:r>
      <w:r>
        <w:rPr>
          <w:color w:val="000000" w:themeColor="text1"/>
          <w:w w:val="105"/>
          <w:sz w:val="24"/>
          <w:szCs w:val="24"/>
          <w:lang w:val="en-US"/>
        </w:rPr>
        <w:t>分布图</w:t>
      </w:r>
    </w:p>
    <w:p>
      <w:pPr>
        <w:pStyle w:val="9"/>
        <w:spacing w:line="360" w:lineRule="auto"/>
        <w:jc w:val="both"/>
        <w:rPr>
          <w:color w:val="000000" w:themeColor="text1"/>
          <w:w w:val="105"/>
          <w:sz w:val="24"/>
          <w:szCs w:val="24"/>
          <w:lang w:val="en-US"/>
        </w:rPr>
      </w:pPr>
      <w:r>
        <w:rPr>
          <w:rFonts w:hint="eastAsia"/>
          <w:color w:val="000000" w:themeColor="text1"/>
          <w:w w:val="105"/>
          <w:sz w:val="24"/>
          <w:szCs w:val="24"/>
          <w:lang w:val="en-US" w:bidi="ar-SA"/>
        </w:rPr>
        <w:drawing>
          <wp:inline distT="0" distB="0" distL="0" distR="0">
            <wp:extent cx="5618480" cy="5116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rcRect t="18385"/>
                    <a:stretch>
                      <a:fillRect/>
                    </a:stretch>
                  </pic:blipFill>
                  <pic:spPr>
                    <a:xfrm>
                      <a:off x="0" y="0"/>
                      <a:ext cx="5618480" cy="5116195"/>
                    </a:xfrm>
                    <a:prstGeom prst="rect">
                      <a:avLst/>
                    </a:prstGeom>
                    <a:ln>
                      <a:noFill/>
                    </a:ln>
                  </pic:spPr>
                </pic:pic>
              </a:graphicData>
            </a:graphic>
          </wp:inline>
        </w:drawing>
      </w:r>
    </w:p>
    <w:p>
      <w:pPr>
        <w:pStyle w:val="9"/>
        <w:spacing w:line="360" w:lineRule="auto"/>
        <w:jc w:val="both"/>
        <w:rPr>
          <w:color w:val="000000" w:themeColor="text1"/>
          <w:w w:val="105"/>
          <w:sz w:val="24"/>
          <w:szCs w:val="24"/>
          <w:lang w:val="en-US"/>
        </w:rPr>
      </w:pP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东区一期地被灌木竹类工作量清单</w:t>
      </w:r>
    </w:p>
    <w:p>
      <w:pPr>
        <w:pStyle w:val="9"/>
        <w:spacing w:line="360" w:lineRule="auto"/>
        <w:jc w:val="both"/>
        <w:rPr>
          <w:rFonts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bidi="ar-SA"/>
        </w:rPr>
        <w:drawing>
          <wp:anchor distT="0" distB="0" distL="114300" distR="114300" simplePos="0" relativeHeight="251659264" behindDoc="0" locked="0" layoutInCell="1" allowOverlap="1">
            <wp:simplePos x="0" y="0"/>
            <wp:positionH relativeFrom="margin">
              <wp:posOffset>3560445</wp:posOffset>
            </wp:positionH>
            <wp:positionV relativeFrom="margin">
              <wp:posOffset>5934075</wp:posOffset>
            </wp:positionV>
            <wp:extent cx="2057400" cy="187261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872615"/>
                    </a:xfrm>
                    <a:prstGeom prst="rect">
                      <a:avLst/>
                    </a:prstGeom>
                  </pic:spPr>
                </pic:pic>
              </a:graphicData>
            </a:graphic>
          </wp:anchor>
        </w:drawing>
      </w:r>
      <w:r>
        <w:rPr>
          <w:rFonts w:hint="eastAsia" w:asciiTheme="minorEastAsia" w:hAnsiTheme="minorEastAsia" w:eastAsiaTheme="minorEastAsia"/>
          <w:color w:val="000000" w:themeColor="text1"/>
          <w:w w:val="105"/>
          <w:sz w:val="28"/>
          <w:szCs w:val="28"/>
          <w:lang w:val="en-US"/>
        </w:rPr>
        <w:t>地被灌木竹类统计表</w:t>
      </w:r>
    </w:p>
    <w:tbl>
      <w:tblPr>
        <w:tblStyle w:val="15"/>
        <w:tblW w:w="5387" w:type="dxa"/>
        <w:tblInd w:w="108" w:type="dxa"/>
        <w:tblLayout w:type="autofit"/>
        <w:tblCellMar>
          <w:top w:w="0" w:type="dxa"/>
          <w:left w:w="108" w:type="dxa"/>
          <w:bottom w:w="0" w:type="dxa"/>
          <w:right w:w="108" w:type="dxa"/>
        </w:tblCellMar>
      </w:tblPr>
      <w:tblGrid>
        <w:gridCol w:w="1080"/>
        <w:gridCol w:w="2889"/>
        <w:gridCol w:w="1418"/>
      </w:tblGrid>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分区</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名称</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数量</w:t>
            </w:r>
            <w:bookmarkStart w:id="0" w:name="_GoBack"/>
            <w:bookmarkEnd w:id="0"/>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草坪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16060</w:t>
            </w:r>
          </w:p>
        </w:tc>
      </w:tr>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八角金盘</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茶梅  </w:t>
            </w:r>
          </w:p>
        </w:tc>
        <w:tc>
          <w:tcPr>
            <w:tcW w:w="1418"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244</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杜鹃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216</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枸骨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瓜子黄杨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99</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红叶石楠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黄杨绿篱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金丝桃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197</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龙柏绿篱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1008</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木瓜海棠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100</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洒金桃叶珊瑚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998</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珊瑚树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74</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十大功劳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蚊母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154</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蜘蛛抱蛋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3202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八角金盘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络石   </w:t>
            </w:r>
          </w:p>
        </w:tc>
        <w:tc>
          <w:tcPr>
            <w:tcW w:w="1418"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麦冬  </w:t>
            </w:r>
          </w:p>
        </w:tc>
        <w:tc>
          <w:tcPr>
            <w:tcW w:w="1418"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11675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刚竹林   </w:t>
            </w:r>
          </w:p>
        </w:tc>
        <w:tc>
          <w:tcPr>
            <w:tcW w:w="1418"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慈孝竹  </w:t>
            </w:r>
          </w:p>
        </w:tc>
        <w:tc>
          <w:tcPr>
            <w:tcW w:w="1418"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合计</w:t>
            </w:r>
          </w:p>
        </w:tc>
        <w:tc>
          <w:tcPr>
            <w:tcW w:w="2889"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w:t>
            </w:r>
          </w:p>
        </w:tc>
        <w:tc>
          <w:tcPr>
            <w:tcW w:w="1418"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43268</w:t>
            </w:r>
          </w:p>
        </w:tc>
      </w:tr>
    </w:tbl>
    <w:p>
      <w:pPr>
        <w:pStyle w:val="9"/>
        <w:spacing w:line="360" w:lineRule="auto"/>
        <w:jc w:val="both"/>
        <w:rPr>
          <w:color w:val="000000" w:themeColor="text1"/>
          <w:w w:val="105"/>
          <w:sz w:val="24"/>
          <w:szCs w:val="24"/>
          <w:lang w:val="en-US"/>
        </w:rPr>
      </w:pP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东区一期小乔木工作量清单</w:t>
      </w: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小乔木统计表</w:t>
      </w:r>
    </w:p>
    <w:tbl>
      <w:tblPr>
        <w:tblStyle w:val="15"/>
        <w:tblW w:w="5387" w:type="dxa"/>
        <w:tblInd w:w="108" w:type="dxa"/>
        <w:tblLayout w:type="autofit"/>
        <w:tblCellMar>
          <w:top w:w="0" w:type="dxa"/>
          <w:left w:w="108" w:type="dxa"/>
          <w:bottom w:w="0" w:type="dxa"/>
          <w:right w:w="108" w:type="dxa"/>
        </w:tblCellMar>
      </w:tblPr>
      <w:tblGrid>
        <w:gridCol w:w="1080"/>
        <w:gridCol w:w="2889"/>
        <w:gridCol w:w="1418"/>
      </w:tblGrid>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分区</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名称</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数量</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棕榈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76</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紫叶李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87</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紫藤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紫荆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柘树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圆柏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樱花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杨梅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杏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五角枫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90</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蚊母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155</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377</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苏铁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石楠球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石榴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珊瑚树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979</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山茶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日本五针松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乔木瓜子黄杨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枇杷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女贞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木瓜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罗汉松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59</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龙柏球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龙柏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548</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腊梅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夹竹桃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105</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黄杨球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黄馨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胡颓子球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厚皮香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红梅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红桔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黑松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含笑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桧柏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桂花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239</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大黄杨球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xml:space="preserve">垂丝海棠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合计</w:t>
            </w:r>
          </w:p>
        </w:tc>
        <w:tc>
          <w:tcPr>
            <w:tcW w:w="288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3138</w:t>
            </w:r>
          </w:p>
        </w:tc>
      </w:tr>
    </w:tbl>
    <w:p>
      <w:pPr>
        <w:pStyle w:val="9"/>
        <w:spacing w:line="360" w:lineRule="auto"/>
        <w:jc w:val="both"/>
        <w:rPr>
          <w:color w:val="000000" w:themeColor="text1"/>
          <w:w w:val="105"/>
          <w:sz w:val="24"/>
          <w:szCs w:val="24"/>
          <w:lang w:val="en-US"/>
        </w:rPr>
      </w:pP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东区一期大乔木工作量清单</w:t>
      </w: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大乔木统计表</w:t>
      </w:r>
    </w:p>
    <w:tbl>
      <w:tblPr>
        <w:tblStyle w:val="15"/>
        <w:tblW w:w="4820" w:type="dxa"/>
        <w:tblInd w:w="108" w:type="dxa"/>
        <w:tblLayout w:type="autofit"/>
        <w:tblCellMar>
          <w:top w:w="0" w:type="dxa"/>
          <w:left w:w="108" w:type="dxa"/>
          <w:bottom w:w="0" w:type="dxa"/>
          <w:right w:w="108" w:type="dxa"/>
        </w:tblCellMar>
      </w:tblPr>
      <w:tblGrid>
        <w:gridCol w:w="1080"/>
        <w:gridCol w:w="2039"/>
        <w:gridCol w:w="1701"/>
      </w:tblGrid>
      <w:tr>
        <w:tblPrEx>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分区</w:t>
            </w:r>
          </w:p>
        </w:tc>
        <w:tc>
          <w:tcPr>
            <w:tcW w:w="2039"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胸径</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榆树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榆树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雪松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悬铃木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36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山核桃</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山核桃</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山核桃</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山核桃</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山核桃</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桑树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青桐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泡桐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苦楝</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国槐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国槐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广玉兰</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构树</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13</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枫杨</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枫香</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杜仲</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9</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8</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大叶女贞</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刺槐</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臭椿</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白皮松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白皮松</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一期</w:t>
            </w:r>
          </w:p>
        </w:tc>
        <w:tc>
          <w:tcPr>
            <w:tcW w:w="2039"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白栎</w:t>
            </w:r>
          </w:p>
        </w:tc>
        <w:tc>
          <w:tcPr>
            <w:tcW w:w="1701" w:type="dxa"/>
            <w:tcBorders>
              <w:top w:val="nil"/>
              <w:left w:val="nil"/>
              <w:bottom w:val="single" w:color="auto" w:sz="4" w:space="0"/>
              <w:right w:val="single" w:color="auto" w:sz="4" w:space="0"/>
            </w:tcBorders>
            <w:shd w:val="clear" w:color="auto" w:fill="auto"/>
            <w:noWrap/>
            <w:vAlign w:val="bottom"/>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w:t>
            </w:r>
          </w:p>
        </w:tc>
      </w:tr>
    </w:tbl>
    <w:p>
      <w:pPr>
        <w:pStyle w:val="9"/>
        <w:spacing w:line="360" w:lineRule="auto"/>
        <w:jc w:val="both"/>
        <w:rPr>
          <w:rFonts w:hint="eastAsia" w:asciiTheme="minorEastAsia" w:hAnsiTheme="minorEastAsia" w:eastAsiaTheme="minorEastAsia"/>
          <w:color w:val="000000" w:themeColor="text1"/>
          <w:w w:val="105"/>
          <w:sz w:val="28"/>
          <w:szCs w:val="28"/>
          <w:lang w:val="en-US"/>
        </w:rPr>
      </w:pP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东区二期地被灌木竹类工作量清单</w:t>
      </w:r>
    </w:p>
    <w:p>
      <w:pPr>
        <w:pStyle w:val="9"/>
        <w:spacing w:line="360" w:lineRule="auto"/>
        <w:jc w:val="both"/>
        <w:rPr>
          <w:rFonts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bidi="ar-SA"/>
        </w:rPr>
        <w:drawing>
          <wp:anchor distT="0" distB="0" distL="114300" distR="114300" simplePos="0" relativeHeight="251661312" behindDoc="0" locked="0" layoutInCell="1" allowOverlap="1">
            <wp:simplePos x="0" y="0"/>
            <wp:positionH relativeFrom="margin">
              <wp:posOffset>3324225</wp:posOffset>
            </wp:positionH>
            <wp:positionV relativeFrom="margin">
              <wp:posOffset>5610225</wp:posOffset>
            </wp:positionV>
            <wp:extent cx="2192655" cy="20002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2655" cy="2000250"/>
                    </a:xfrm>
                    <a:prstGeom prst="rect">
                      <a:avLst/>
                    </a:prstGeom>
                  </pic:spPr>
                </pic:pic>
              </a:graphicData>
            </a:graphic>
          </wp:anchor>
        </w:drawing>
      </w:r>
      <w:r>
        <w:rPr>
          <w:rFonts w:hint="eastAsia" w:asciiTheme="minorEastAsia" w:hAnsiTheme="minorEastAsia" w:eastAsiaTheme="minorEastAsia"/>
          <w:color w:val="000000" w:themeColor="text1"/>
          <w:w w:val="105"/>
          <w:sz w:val="28"/>
          <w:szCs w:val="28"/>
          <w:lang w:val="en-US"/>
        </w:rPr>
        <w:t>地被灌木竹类统计表</w:t>
      </w:r>
    </w:p>
    <w:tbl>
      <w:tblPr>
        <w:tblStyle w:val="15"/>
        <w:tblW w:w="4820" w:type="dxa"/>
        <w:tblInd w:w="108" w:type="dxa"/>
        <w:tblLayout w:type="autofit"/>
        <w:tblCellMar>
          <w:top w:w="0" w:type="dxa"/>
          <w:left w:w="108" w:type="dxa"/>
          <w:bottom w:w="0" w:type="dxa"/>
          <w:right w:w="108" w:type="dxa"/>
        </w:tblCellMar>
      </w:tblPr>
      <w:tblGrid>
        <w:gridCol w:w="960"/>
        <w:gridCol w:w="2726"/>
        <w:gridCol w:w="1134"/>
      </w:tblGrid>
      <w:tr>
        <w:trPr>
          <w:trHeight w:val="255"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分区</w:t>
            </w:r>
          </w:p>
        </w:tc>
        <w:tc>
          <w:tcPr>
            <w:tcW w:w="2726"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数量</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散尾葵</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26</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红花檵木球</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北海道黄杨</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龙柏</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幸福树</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32</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火焰南天竹</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1046</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黄金菊</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749</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金森女贞</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382</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大叶黄杨</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2727</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春鹃</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355</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红花檵木</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65</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金叶大花六道木</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546</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红叶石楠</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1050</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常夏石竹</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165</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瓜子黄杨</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374</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金叶菖蒲</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208</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吉祥草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270</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麦冬</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1315</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生态耐寒矮化苦草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 xml:space="preserve">127.0 </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睡莲</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4</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旱伞草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灯芯草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常绿水生鸢尾</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18</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花叶芦竹</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水生美人蕉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4</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梭鱼草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4</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八角金盘</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87</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草坪</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2192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白哺鸡竹</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762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花叶芦竹</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49</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合计</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12648</w:t>
            </w:r>
          </w:p>
        </w:tc>
      </w:tr>
    </w:tbl>
    <w:p>
      <w:pPr>
        <w:pStyle w:val="9"/>
        <w:spacing w:line="360" w:lineRule="auto"/>
        <w:jc w:val="both"/>
        <w:rPr>
          <w:color w:val="000000" w:themeColor="text1"/>
          <w:w w:val="105"/>
          <w:sz w:val="24"/>
          <w:szCs w:val="24"/>
          <w:lang w:val="en-US"/>
        </w:rPr>
      </w:pP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东区二期小乔木工作量清单</w:t>
      </w: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小乔木统计表</w:t>
      </w:r>
    </w:p>
    <w:tbl>
      <w:tblPr>
        <w:tblStyle w:val="15"/>
        <w:tblW w:w="4820" w:type="dxa"/>
        <w:tblInd w:w="108" w:type="dxa"/>
        <w:tblLayout w:type="autofit"/>
        <w:tblCellMar>
          <w:top w:w="0" w:type="dxa"/>
          <w:left w:w="108" w:type="dxa"/>
          <w:bottom w:w="0" w:type="dxa"/>
          <w:right w:w="108" w:type="dxa"/>
        </w:tblCellMar>
      </w:tblPr>
      <w:tblGrid>
        <w:gridCol w:w="960"/>
        <w:gridCol w:w="2726"/>
        <w:gridCol w:w="1134"/>
      </w:tblGrid>
      <w:tr>
        <w:tblPrEx>
          <w:tblCellMar>
            <w:top w:w="0" w:type="dxa"/>
            <w:left w:w="108" w:type="dxa"/>
            <w:bottom w:w="0" w:type="dxa"/>
            <w:right w:w="108" w:type="dxa"/>
          </w:tblCellMar>
        </w:tblPrEx>
        <w:trPr>
          <w:trHeight w:val="255"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分区</w:t>
            </w:r>
          </w:p>
        </w:tc>
        <w:tc>
          <w:tcPr>
            <w:tcW w:w="2726"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数量</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紫楠</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浙江楠</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59</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白皮松</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9</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红花槭</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14</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白玉兰</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5</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二乔玉兰</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紫玉兰</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丛生紫薇</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紫薇</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38</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莲子桂A</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66</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莲子桂</w:t>
            </w:r>
            <w:r>
              <w:rPr>
                <w:rFonts w:asciiTheme="minorEastAsia" w:hAnsiTheme="minorEastAsia" w:eastAsiaTheme="minorEastAsia"/>
                <w:color w:val="000000" w:themeColor="text1"/>
                <w:w w:val="105"/>
                <w:sz w:val="28"/>
                <w:szCs w:val="28"/>
                <w:lang w:val="en-US"/>
              </w:rPr>
              <w:t>B</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35</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北美海棠（绚丽）</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8</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红枫</w:t>
            </w:r>
            <w:r>
              <w:rPr>
                <w:rFonts w:asciiTheme="minorEastAsia" w:hAnsiTheme="minorEastAsia" w:eastAsiaTheme="minorEastAsia"/>
                <w:color w:val="000000" w:themeColor="text1"/>
                <w:w w:val="105"/>
                <w:sz w:val="28"/>
                <w:szCs w:val="28"/>
                <w:lang w:val="en-US"/>
              </w:rPr>
              <w:t>A</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红枫</w:t>
            </w:r>
            <w:r>
              <w:rPr>
                <w:rFonts w:asciiTheme="minorEastAsia" w:hAnsiTheme="minorEastAsia" w:eastAsiaTheme="minorEastAsia"/>
                <w:color w:val="000000" w:themeColor="text1"/>
                <w:w w:val="105"/>
                <w:sz w:val="28"/>
                <w:szCs w:val="28"/>
                <w:lang w:val="en-US"/>
              </w:rPr>
              <w:t>B</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17</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美人梅</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79</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花石榴</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花桃</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丛生石楠</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美人茶</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34</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珊瑚绿篱</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52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丛生珊瑚</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25</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丛生朴树</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55"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合计</w:t>
            </w:r>
          </w:p>
        </w:tc>
        <w:tc>
          <w:tcPr>
            <w:tcW w:w="2726"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　</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582</w:t>
            </w:r>
          </w:p>
        </w:tc>
      </w:tr>
    </w:tbl>
    <w:p>
      <w:pPr>
        <w:pStyle w:val="9"/>
        <w:spacing w:line="360" w:lineRule="auto"/>
        <w:jc w:val="both"/>
        <w:rPr>
          <w:rFonts w:asciiTheme="minorEastAsia" w:hAnsiTheme="minorEastAsia" w:eastAsiaTheme="minorEastAsia"/>
          <w:color w:val="000000" w:themeColor="text1"/>
          <w:w w:val="105"/>
          <w:sz w:val="28"/>
          <w:szCs w:val="28"/>
          <w:lang w:val="en-US"/>
        </w:rPr>
      </w:pP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东区二期大乔木工作量清单</w:t>
      </w:r>
    </w:p>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大乔木统计表</w:t>
      </w:r>
    </w:p>
    <w:tbl>
      <w:tblPr>
        <w:tblStyle w:val="15"/>
        <w:tblW w:w="4395" w:type="dxa"/>
        <w:tblInd w:w="108" w:type="dxa"/>
        <w:tblLayout w:type="autofit"/>
        <w:tblCellMar>
          <w:top w:w="0" w:type="dxa"/>
          <w:left w:w="108" w:type="dxa"/>
          <w:bottom w:w="0" w:type="dxa"/>
          <w:right w:w="108" w:type="dxa"/>
        </w:tblCellMar>
      </w:tblPr>
      <w:tblGrid>
        <w:gridCol w:w="880"/>
        <w:gridCol w:w="2381"/>
        <w:gridCol w:w="1134"/>
      </w:tblGrid>
      <w:tr>
        <w:tblPrEx>
          <w:tblCellMar>
            <w:top w:w="0" w:type="dxa"/>
            <w:left w:w="108" w:type="dxa"/>
            <w:bottom w:w="0" w:type="dxa"/>
            <w:right w:w="108" w:type="dxa"/>
          </w:tblCellMar>
        </w:tblPrEx>
        <w:trPr>
          <w:trHeight w:val="255" w:hRule="atLeast"/>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分区</w:t>
            </w:r>
          </w:p>
        </w:tc>
        <w:tc>
          <w:tcPr>
            <w:tcW w:w="2381"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数量</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榉树</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11</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朴树</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21</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黄山栾树</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41</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女贞</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37</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乌桕</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三角枫</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香樟</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36</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银杏</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2</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枫香</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0</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无患子</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40</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r>
              <w:rPr>
                <w:rFonts w:asciiTheme="minorEastAsia" w:hAnsiTheme="minorEastAsia" w:eastAsiaTheme="minorEastAsia"/>
                <w:color w:val="000000" w:themeColor="text1"/>
                <w:w w:val="105"/>
                <w:sz w:val="28"/>
                <w:szCs w:val="28"/>
                <w:lang w:val="en-US"/>
              </w:rPr>
              <w:t>A</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30</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水杉</w:t>
            </w:r>
            <w:r>
              <w:rPr>
                <w:rFonts w:asciiTheme="minorEastAsia" w:hAnsiTheme="minorEastAsia" w:eastAsiaTheme="minorEastAsia"/>
                <w:color w:val="000000" w:themeColor="text1"/>
                <w:w w:val="105"/>
                <w:sz w:val="28"/>
                <w:szCs w:val="28"/>
                <w:lang w:val="en-US"/>
              </w:rPr>
              <w:t>B</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6</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墨西哥落羽杉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10</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池杉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7</w:t>
            </w:r>
          </w:p>
        </w:tc>
      </w:tr>
      <w:tr>
        <w:tblPrEx>
          <w:tblCellMar>
            <w:top w:w="0" w:type="dxa"/>
            <w:left w:w="108" w:type="dxa"/>
            <w:bottom w:w="0" w:type="dxa"/>
            <w:right w:w="108" w:type="dxa"/>
          </w:tblCellMar>
        </w:tblPrEx>
        <w:trPr>
          <w:trHeight w:val="255" w:hRule="atLeast"/>
        </w:trPr>
        <w:tc>
          <w:tcPr>
            <w:tcW w:w="880" w:type="dxa"/>
            <w:tcBorders>
              <w:top w:val="nil"/>
              <w:left w:val="single" w:color="auto" w:sz="4" w:space="0"/>
              <w:bottom w:val="single" w:color="auto" w:sz="4" w:space="0"/>
              <w:right w:val="single" w:color="auto" w:sz="4" w:space="0"/>
            </w:tcBorders>
            <w:shd w:val="clear" w:color="auto" w:fill="auto"/>
            <w:noWrap/>
            <w:vAlign w:val="center"/>
          </w:tcPr>
          <w:p>
            <w:pPr>
              <w:pStyle w:val="9"/>
              <w:spacing w:line="360" w:lineRule="auto"/>
              <w:jc w:val="both"/>
              <w:rPr>
                <w:rFonts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二期</w:t>
            </w:r>
          </w:p>
        </w:tc>
        <w:tc>
          <w:tcPr>
            <w:tcW w:w="2381"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hint="eastAsia" w:asciiTheme="minorEastAsia" w:hAnsiTheme="minorEastAsia" w:eastAsiaTheme="minorEastAsia"/>
                <w:color w:val="000000" w:themeColor="text1"/>
                <w:w w:val="105"/>
                <w:sz w:val="28"/>
                <w:szCs w:val="28"/>
                <w:lang w:val="en-US"/>
              </w:rPr>
              <w:t>柳杉</w:t>
            </w:r>
          </w:p>
        </w:tc>
        <w:tc>
          <w:tcPr>
            <w:tcW w:w="1134" w:type="dxa"/>
            <w:tcBorders>
              <w:top w:val="nil"/>
              <w:left w:val="nil"/>
              <w:bottom w:val="single" w:color="auto" w:sz="4" w:space="0"/>
              <w:right w:val="single" w:color="auto" w:sz="4" w:space="0"/>
            </w:tcBorders>
            <w:shd w:val="clear" w:color="auto" w:fill="auto"/>
            <w:noWrap/>
            <w:vAlign w:val="center"/>
          </w:tcPr>
          <w:p>
            <w:pPr>
              <w:pStyle w:val="9"/>
              <w:spacing w:line="360" w:lineRule="auto"/>
              <w:jc w:val="both"/>
              <w:rPr>
                <w:rFonts w:hint="eastAsia" w:asciiTheme="minorEastAsia" w:hAnsiTheme="minorEastAsia" w:eastAsiaTheme="minorEastAsia"/>
                <w:color w:val="000000" w:themeColor="text1"/>
                <w:w w:val="105"/>
                <w:sz w:val="28"/>
                <w:szCs w:val="28"/>
                <w:lang w:val="en-US"/>
              </w:rPr>
            </w:pPr>
            <w:r>
              <w:rPr>
                <w:rFonts w:asciiTheme="minorEastAsia" w:hAnsiTheme="minorEastAsia" w:eastAsiaTheme="minorEastAsia"/>
                <w:color w:val="000000" w:themeColor="text1"/>
                <w:w w:val="105"/>
                <w:sz w:val="28"/>
                <w:szCs w:val="28"/>
                <w:lang w:val="en-US"/>
              </w:rPr>
              <w:t>10</w:t>
            </w:r>
          </w:p>
        </w:tc>
      </w:tr>
    </w:tbl>
    <w:p>
      <w:pPr>
        <w:pStyle w:val="9"/>
        <w:spacing w:line="360" w:lineRule="auto"/>
        <w:jc w:val="both"/>
        <w:rPr>
          <w:rFonts w:hint="eastAsia"/>
          <w:color w:val="000000" w:themeColor="text1"/>
          <w:w w:val="105"/>
          <w:sz w:val="24"/>
          <w:szCs w:val="24"/>
          <w:lang w:val="en-US"/>
        </w:rPr>
      </w:pPr>
    </w:p>
    <w:sectPr>
      <w:footerReference r:id="rId5" w:type="first"/>
      <w:headerReference r:id="rId3" w:type="default"/>
      <w:footerReference r:id="rId4" w:type="default"/>
      <w:pgSz w:w="11910" w:h="16840"/>
      <w:pgMar w:top="2098" w:right="1531" w:bottom="1985" w:left="1531" w:header="0" w:footer="68" w:gutter="0"/>
      <w:pgNumType w:fmt="numberInDash" w:start="0"/>
      <w:cols w:equalWidth="0" w:num="1">
        <w:col w:w="9419"/>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9178174"/>
      <w:docPartObj>
        <w:docPartGallery w:val="AutoText"/>
      </w:docPartObj>
    </w:sdtPr>
    <w:sdtContent>
      <w:p>
        <w:pPr>
          <w:pStyle w:val="12"/>
          <w:jc w:val="center"/>
        </w:pPr>
        <w:r>
          <w:fldChar w:fldCharType="begin"/>
        </w:r>
        <w:r>
          <w:instrText xml:space="preserve">PAGE   \* MERGEFORMAT</w:instrText>
        </w:r>
        <w:r>
          <w:fldChar w:fldCharType="separate"/>
        </w:r>
        <w:r>
          <w:t>- 57 -</w:t>
        </w:r>
        <w:r>
          <w:fldChar w:fldCharType="end"/>
        </w:r>
      </w:p>
    </w:sdtContent>
  </w:sdt>
  <w:p>
    <w:pPr>
      <w:pStyle w:val="9"/>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0" o:spid="_x0000_s2050" o:spt="202" type="#_x0000_t202" style="position:absolute;left:0pt;margin-left:476.35pt;margin-top:-1.2pt;height:15.3pt;width:65.25pt;mso-position-horizontal-relative:page;mso-position-vertical-relative:page;z-index:-251656192;mso-width-relative:page;mso-height-relative:page;" filled="f" stroked="f" coordsize="21600,21600" o:gfxdata="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xSyZE2QAAAAoBAAAP&#10;AAAAAAAAAAEAIAAAACIAAABkcnMvZG93bnJldi54bWxQSwECFAAUAAAACACHTuJAnsTD26UBAAAy&#10;AwAADgAAAAAAAAABACAAAAAoAQAAZHJzL2Uyb0RvYy54bWxQSwUGAAAAAAYABgBZAQAAPwUAAAAA&#10;">
          <v:path/>
          <v:fill on="f" focussize="0,0"/>
          <v:stroke on="f" joinstyle="miter"/>
          <v:imagedata o:title=""/>
          <o:lock v:ext="edit"/>
          <v:textbox inset="0mm,0mm,0mm,0mm">
            <w:txbxContent>
              <w:p>
                <w:pPr>
                  <w:spacing w:line="301" w:lineRule="exact"/>
                  <w:ind w:left="20"/>
                  <w:rPr>
                    <w:rFonts w:ascii="Times New Roman" w:eastAsia="Times New Roman"/>
                    <w:sz w:val="24"/>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4"/>
      <w:numFmt w:val="decimal"/>
      <w:lvlText w:val="%1"/>
      <w:lvlJc w:val="left"/>
      <w:pPr>
        <w:ind w:left="477" w:hanging="217"/>
      </w:pPr>
      <w:rPr>
        <w:rFonts w:hint="default"/>
        <w:lang w:val="zh-CN" w:eastAsia="zh-CN" w:bidi="zh-CN"/>
      </w:rPr>
    </w:lvl>
    <w:lvl w:ilvl="1" w:tentative="0">
      <w:start w:val="1"/>
      <w:numFmt w:val="decimal"/>
      <w:lvlText w:val="%1.%2"/>
      <w:lvlJc w:val="left"/>
      <w:pPr>
        <w:ind w:left="501" w:hanging="217"/>
      </w:pPr>
      <w:rPr>
        <w:rFonts w:hint="default" w:ascii="宋体" w:hAnsi="宋体" w:eastAsia="宋体" w:cs="宋体"/>
        <w:b w:val="0"/>
        <w:bCs/>
        <w:w w:val="102"/>
        <w:sz w:val="24"/>
        <w:szCs w:val="12"/>
        <w:lang w:val="zh-CN" w:eastAsia="zh-CN" w:bidi="zh-CN"/>
      </w:rPr>
    </w:lvl>
    <w:lvl w:ilvl="2" w:tentative="0">
      <w:start w:val="0"/>
      <w:numFmt w:val="bullet"/>
      <w:lvlText w:val="•"/>
      <w:lvlJc w:val="left"/>
      <w:pPr>
        <w:ind w:left="2393" w:hanging="217"/>
      </w:pPr>
      <w:rPr>
        <w:rFonts w:hint="default"/>
        <w:lang w:val="zh-CN" w:eastAsia="zh-CN" w:bidi="zh-CN"/>
      </w:rPr>
    </w:lvl>
    <w:lvl w:ilvl="3" w:tentative="0">
      <w:start w:val="0"/>
      <w:numFmt w:val="bullet"/>
      <w:lvlText w:val="•"/>
      <w:lvlJc w:val="left"/>
      <w:pPr>
        <w:ind w:left="3349" w:hanging="217"/>
      </w:pPr>
      <w:rPr>
        <w:rFonts w:hint="default"/>
        <w:lang w:val="zh-CN" w:eastAsia="zh-CN" w:bidi="zh-CN"/>
      </w:rPr>
    </w:lvl>
    <w:lvl w:ilvl="4" w:tentative="0">
      <w:start w:val="0"/>
      <w:numFmt w:val="bullet"/>
      <w:lvlText w:val="•"/>
      <w:lvlJc w:val="left"/>
      <w:pPr>
        <w:ind w:left="4306" w:hanging="217"/>
      </w:pPr>
      <w:rPr>
        <w:rFonts w:hint="default"/>
        <w:lang w:val="zh-CN" w:eastAsia="zh-CN" w:bidi="zh-CN"/>
      </w:rPr>
    </w:lvl>
    <w:lvl w:ilvl="5" w:tentative="0">
      <w:start w:val="0"/>
      <w:numFmt w:val="bullet"/>
      <w:lvlText w:val="•"/>
      <w:lvlJc w:val="left"/>
      <w:pPr>
        <w:ind w:left="5262" w:hanging="217"/>
      </w:pPr>
      <w:rPr>
        <w:rFonts w:hint="default"/>
        <w:lang w:val="zh-CN" w:eastAsia="zh-CN" w:bidi="zh-CN"/>
      </w:rPr>
    </w:lvl>
    <w:lvl w:ilvl="6" w:tentative="0">
      <w:start w:val="0"/>
      <w:numFmt w:val="bullet"/>
      <w:lvlText w:val="•"/>
      <w:lvlJc w:val="left"/>
      <w:pPr>
        <w:ind w:left="6219" w:hanging="217"/>
      </w:pPr>
      <w:rPr>
        <w:rFonts w:hint="default"/>
        <w:lang w:val="zh-CN" w:eastAsia="zh-CN" w:bidi="zh-CN"/>
      </w:rPr>
    </w:lvl>
    <w:lvl w:ilvl="7" w:tentative="0">
      <w:start w:val="0"/>
      <w:numFmt w:val="bullet"/>
      <w:lvlText w:val="•"/>
      <w:lvlJc w:val="left"/>
      <w:pPr>
        <w:ind w:left="7175" w:hanging="217"/>
      </w:pPr>
      <w:rPr>
        <w:rFonts w:hint="default"/>
        <w:lang w:val="zh-CN" w:eastAsia="zh-CN" w:bidi="zh-CN"/>
      </w:rPr>
    </w:lvl>
    <w:lvl w:ilvl="8" w:tentative="0">
      <w:start w:val="0"/>
      <w:numFmt w:val="bullet"/>
      <w:lvlText w:val="•"/>
      <w:lvlJc w:val="left"/>
      <w:pPr>
        <w:ind w:left="8132" w:hanging="217"/>
      </w:pPr>
      <w:rPr>
        <w:rFonts w:hint="default"/>
        <w:lang w:val="zh-CN" w:eastAsia="zh-CN" w:bidi="zh-CN"/>
      </w:rPr>
    </w:lvl>
  </w:abstractNum>
  <w:abstractNum w:abstractNumId="1">
    <w:nsid w:val="0248C179"/>
    <w:multiLevelType w:val="multilevel"/>
    <w:tmpl w:val="0248C179"/>
    <w:lvl w:ilvl="0" w:tentative="0">
      <w:start w:val="3"/>
      <w:numFmt w:val="decimal"/>
      <w:lvlText w:val="%1"/>
      <w:lvlJc w:val="left"/>
      <w:pPr>
        <w:ind w:left="982" w:hanging="217"/>
      </w:pPr>
      <w:rPr>
        <w:rFonts w:hint="default"/>
        <w:lang w:val="zh-CN" w:eastAsia="zh-CN" w:bidi="zh-CN"/>
      </w:rPr>
    </w:lvl>
    <w:lvl w:ilvl="1" w:tentative="0">
      <w:start w:val="1"/>
      <w:numFmt w:val="decimal"/>
      <w:lvlText w:val="%1.%2"/>
      <w:lvlJc w:val="left"/>
      <w:pPr>
        <w:ind w:left="982" w:hanging="217"/>
      </w:pPr>
      <w:rPr>
        <w:rFonts w:hint="default" w:ascii="宋体" w:hAnsi="宋体" w:eastAsia="宋体" w:cs="宋体"/>
        <w:b w:val="0"/>
        <w:bCs/>
        <w:w w:val="102"/>
        <w:sz w:val="24"/>
        <w:szCs w:val="12"/>
        <w:lang w:val="zh-CN" w:eastAsia="zh-CN" w:bidi="zh-CN"/>
      </w:rPr>
    </w:lvl>
    <w:lvl w:ilvl="2" w:tentative="0">
      <w:start w:val="0"/>
      <w:numFmt w:val="bullet"/>
      <w:lvlText w:val="•"/>
      <w:lvlJc w:val="left"/>
      <w:pPr>
        <w:ind w:left="2793" w:hanging="217"/>
      </w:pPr>
      <w:rPr>
        <w:rFonts w:hint="default"/>
        <w:lang w:val="zh-CN" w:eastAsia="zh-CN" w:bidi="zh-CN"/>
      </w:rPr>
    </w:lvl>
    <w:lvl w:ilvl="3" w:tentative="0">
      <w:start w:val="0"/>
      <w:numFmt w:val="bullet"/>
      <w:lvlText w:val="•"/>
      <w:lvlJc w:val="left"/>
      <w:pPr>
        <w:ind w:left="3699" w:hanging="217"/>
      </w:pPr>
      <w:rPr>
        <w:rFonts w:hint="default"/>
        <w:lang w:val="zh-CN" w:eastAsia="zh-CN" w:bidi="zh-CN"/>
      </w:rPr>
    </w:lvl>
    <w:lvl w:ilvl="4" w:tentative="0">
      <w:start w:val="0"/>
      <w:numFmt w:val="bullet"/>
      <w:lvlText w:val="•"/>
      <w:lvlJc w:val="left"/>
      <w:pPr>
        <w:ind w:left="4606" w:hanging="217"/>
      </w:pPr>
      <w:rPr>
        <w:rFonts w:hint="default"/>
        <w:lang w:val="zh-CN" w:eastAsia="zh-CN" w:bidi="zh-CN"/>
      </w:rPr>
    </w:lvl>
    <w:lvl w:ilvl="5" w:tentative="0">
      <w:start w:val="0"/>
      <w:numFmt w:val="bullet"/>
      <w:lvlText w:val="•"/>
      <w:lvlJc w:val="left"/>
      <w:pPr>
        <w:ind w:left="5512" w:hanging="217"/>
      </w:pPr>
      <w:rPr>
        <w:rFonts w:hint="default"/>
        <w:lang w:val="zh-CN" w:eastAsia="zh-CN" w:bidi="zh-CN"/>
      </w:rPr>
    </w:lvl>
    <w:lvl w:ilvl="6" w:tentative="0">
      <w:start w:val="0"/>
      <w:numFmt w:val="bullet"/>
      <w:lvlText w:val="•"/>
      <w:lvlJc w:val="left"/>
      <w:pPr>
        <w:ind w:left="6419" w:hanging="217"/>
      </w:pPr>
      <w:rPr>
        <w:rFonts w:hint="default"/>
        <w:lang w:val="zh-CN" w:eastAsia="zh-CN" w:bidi="zh-CN"/>
      </w:rPr>
    </w:lvl>
    <w:lvl w:ilvl="7" w:tentative="0">
      <w:start w:val="0"/>
      <w:numFmt w:val="bullet"/>
      <w:lvlText w:val="•"/>
      <w:lvlJc w:val="left"/>
      <w:pPr>
        <w:ind w:left="7325" w:hanging="217"/>
      </w:pPr>
      <w:rPr>
        <w:rFonts w:hint="default"/>
        <w:lang w:val="zh-CN" w:eastAsia="zh-CN" w:bidi="zh-CN"/>
      </w:rPr>
    </w:lvl>
    <w:lvl w:ilvl="8" w:tentative="0">
      <w:start w:val="0"/>
      <w:numFmt w:val="bullet"/>
      <w:lvlText w:val="•"/>
      <w:lvlJc w:val="left"/>
      <w:pPr>
        <w:ind w:left="8232" w:hanging="217"/>
      </w:pPr>
      <w:rPr>
        <w:rFonts w:hint="default"/>
        <w:lang w:val="zh-CN" w:eastAsia="zh-CN" w:bidi="zh-CN"/>
      </w:rPr>
    </w:lvl>
  </w:abstractNum>
  <w:abstractNum w:abstractNumId="2">
    <w:nsid w:val="2A8F537B"/>
    <w:multiLevelType w:val="multilevel"/>
    <w:tmpl w:val="2A8F537B"/>
    <w:lvl w:ilvl="0" w:tentative="0">
      <w:start w:val="5"/>
      <w:numFmt w:val="decimal"/>
      <w:lvlText w:val="%1"/>
      <w:lvlJc w:val="left"/>
      <w:pPr>
        <w:ind w:left="982" w:hanging="217"/>
      </w:pPr>
      <w:rPr>
        <w:rFonts w:hint="default"/>
        <w:lang w:val="zh-CN" w:eastAsia="zh-CN" w:bidi="zh-CN"/>
      </w:rPr>
    </w:lvl>
    <w:lvl w:ilvl="1" w:tentative="0">
      <w:start w:val="1"/>
      <w:numFmt w:val="decimal"/>
      <w:lvlText w:val="%1.%2"/>
      <w:lvlJc w:val="left"/>
      <w:pPr>
        <w:ind w:left="982" w:hanging="217"/>
      </w:pPr>
      <w:rPr>
        <w:rFonts w:hint="default" w:ascii="宋体" w:hAnsi="宋体" w:eastAsia="宋体" w:cs="宋体"/>
        <w:b w:val="0"/>
        <w:bCs/>
        <w:w w:val="102"/>
        <w:sz w:val="24"/>
        <w:szCs w:val="12"/>
        <w:lang w:val="zh-CN" w:eastAsia="zh-CN" w:bidi="zh-CN"/>
      </w:rPr>
    </w:lvl>
    <w:lvl w:ilvl="2" w:tentative="0">
      <w:start w:val="0"/>
      <w:numFmt w:val="bullet"/>
      <w:lvlText w:val="•"/>
      <w:lvlJc w:val="left"/>
      <w:pPr>
        <w:ind w:left="2793" w:hanging="217"/>
      </w:pPr>
      <w:rPr>
        <w:rFonts w:hint="default"/>
        <w:lang w:val="zh-CN" w:eastAsia="zh-CN" w:bidi="zh-CN"/>
      </w:rPr>
    </w:lvl>
    <w:lvl w:ilvl="3" w:tentative="0">
      <w:start w:val="0"/>
      <w:numFmt w:val="bullet"/>
      <w:lvlText w:val="•"/>
      <w:lvlJc w:val="left"/>
      <w:pPr>
        <w:ind w:left="3699" w:hanging="217"/>
      </w:pPr>
      <w:rPr>
        <w:rFonts w:hint="default"/>
        <w:lang w:val="zh-CN" w:eastAsia="zh-CN" w:bidi="zh-CN"/>
      </w:rPr>
    </w:lvl>
    <w:lvl w:ilvl="4" w:tentative="0">
      <w:start w:val="0"/>
      <w:numFmt w:val="bullet"/>
      <w:lvlText w:val="•"/>
      <w:lvlJc w:val="left"/>
      <w:pPr>
        <w:ind w:left="4606" w:hanging="217"/>
      </w:pPr>
      <w:rPr>
        <w:rFonts w:hint="default"/>
        <w:lang w:val="zh-CN" w:eastAsia="zh-CN" w:bidi="zh-CN"/>
      </w:rPr>
    </w:lvl>
    <w:lvl w:ilvl="5" w:tentative="0">
      <w:start w:val="0"/>
      <w:numFmt w:val="bullet"/>
      <w:lvlText w:val="•"/>
      <w:lvlJc w:val="left"/>
      <w:pPr>
        <w:ind w:left="5512" w:hanging="217"/>
      </w:pPr>
      <w:rPr>
        <w:rFonts w:hint="default"/>
        <w:lang w:val="zh-CN" w:eastAsia="zh-CN" w:bidi="zh-CN"/>
      </w:rPr>
    </w:lvl>
    <w:lvl w:ilvl="6" w:tentative="0">
      <w:start w:val="0"/>
      <w:numFmt w:val="bullet"/>
      <w:lvlText w:val="•"/>
      <w:lvlJc w:val="left"/>
      <w:pPr>
        <w:ind w:left="6419" w:hanging="217"/>
      </w:pPr>
      <w:rPr>
        <w:rFonts w:hint="default"/>
        <w:lang w:val="zh-CN" w:eastAsia="zh-CN" w:bidi="zh-CN"/>
      </w:rPr>
    </w:lvl>
    <w:lvl w:ilvl="7" w:tentative="0">
      <w:start w:val="0"/>
      <w:numFmt w:val="bullet"/>
      <w:lvlText w:val="•"/>
      <w:lvlJc w:val="left"/>
      <w:pPr>
        <w:ind w:left="7325" w:hanging="217"/>
      </w:pPr>
      <w:rPr>
        <w:rFonts w:hint="default"/>
        <w:lang w:val="zh-CN" w:eastAsia="zh-CN" w:bidi="zh-CN"/>
      </w:rPr>
    </w:lvl>
    <w:lvl w:ilvl="8" w:tentative="0">
      <w:start w:val="0"/>
      <w:numFmt w:val="bullet"/>
      <w:lvlText w:val="•"/>
      <w:lvlJc w:val="left"/>
      <w:pPr>
        <w:ind w:left="8232" w:hanging="217"/>
      </w:pPr>
      <w:rPr>
        <w:rFonts w:hint="default"/>
        <w:lang w:val="zh-CN" w:eastAsia="zh-CN" w:bidi="zh-CN"/>
      </w:rPr>
    </w:lvl>
  </w:abstractNum>
  <w:abstractNum w:abstractNumId="3">
    <w:nsid w:val="72183CF9"/>
    <w:multiLevelType w:val="multilevel"/>
    <w:tmpl w:val="72183CF9"/>
    <w:lvl w:ilvl="0" w:tentative="0">
      <w:start w:val="1"/>
      <w:numFmt w:val="decimal"/>
      <w:lvlText w:val="%1"/>
      <w:lvlJc w:val="left"/>
      <w:pPr>
        <w:ind w:left="1001" w:hanging="217"/>
      </w:pPr>
      <w:rPr>
        <w:rFonts w:hint="default"/>
        <w:lang w:val="zh-CN" w:eastAsia="zh-CN" w:bidi="zh-CN"/>
      </w:rPr>
    </w:lvl>
    <w:lvl w:ilvl="1" w:tentative="0">
      <w:start w:val="1"/>
      <w:numFmt w:val="decimal"/>
      <w:lvlText w:val="%1.%2"/>
      <w:lvlJc w:val="left"/>
      <w:pPr>
        <w:ind w:left="1001" w:hanging="217"/>
      </w:pPr>
      <w:rPr>
        <w:rFonts w:hint="default" w:ascii="宋体" w:hAnsi="宋体" w:eastAsia="宋体" w:cs="宋体"/>
        <w:b w:val="0"/>
        <w:bCs/>
        <w:w w:val="102"/>
        <w:sz w:val="24"/>
        <w:szCs w:val="12"/>
        <w:lang w:val="zh-CN" w:eastAsia="zh-CN" w:bidi="zh-CN"/>
      </w:rPr>
    </w:lvl>
    <w:lvl w:ilvl="2" w:tentative="0">
      <w:start w:val="0"/>
      <w:numFmt w:val="bullet"/>
      <w:lvlText w:val="•"/>
      <w:lvlJc w:val="left"/>
      <w:pPr>
        <w:ind w:left="2809" w:hanging="217"/>
      </w:pPr>
      <w:rPr>
        <w:rFonts w:hint="default"/>
        <w:lang w:val="zh-CN" w:eastAsia="zh-CN" w:bidi="zh-CN"/>
      </w:rPr>
    </w:lvl>
    <w:lvl w:ilvl="3" w:tentative="0">
      <w:start w:val="0"/>
      <w:numFmt w:val="bullet"/>
      <w:lvlText w:val="•"/>
      <w:lvlJc w:val="left"/>
      <w:pPr>
        <w:ind w:left="3713" w:hanging="217"/>
      </w:pPr>
      <w:rPr>
        <w:rFonts w:hint="default"/>
        <w:lang w:val="zh-CN" w:eastAsia="zh-CN" w:bidi="zh-CN"/>
      </w:rPr>
    </w:lvl>
    <w:lvl w:ilvl="4" w:tentative="0">
      <w:start w:val="0"/>
      <w:numFmt w:val="bullet"/>
      <w:lvlText w:val="•"/>
      <w:lvlJc w:val="left"/>
      <w:pPr>
        <w:ind w:left="4618" w:hanging="217"/>
      </w:pPr>
      <w:rPr>
        <w:rFonts w:hint="default"/>
        <w:lang w:val="zh-CN" w:eastAsia="zh-CN" w:bidi="zh-CN"/>
      </w:rPr>
    </w:lvl>
    <w:lvl w:ilvl="5" w:tentative="0">
      <w:start w:val="0"/>
      <w:numFmt w:val="bullet"/>
      <w:lvlText w:val="•"/>
      <w:lvlJc w:val="left"/>
      <w:pPr>
        <w:ind w:left="5522" w:hanging="217"/>
      </w:pPr>
      <w:rPr>
        <w:rFonts w:hint="default"/>
        <w:lang w:val="zh-CN" w:eastAsia="zh-CN" w:bidi="zh-CN"/>
      </w:rPr>
    </w:lvl>
    <w:lvl w:ilvl="6" w:tentative="0">
      <w:start w:val="0"/>
      <w:numFmt w:val="bullet"/>
      <w:lvlText w:val="•"/>
      <w:lvlJc w:val="left"/>
      <w:pPr>
        <w:ind w:left="6427" w:hanging="217"/>
      </w:pPr>
      <w:rPr>
        <w:rFonts w:hint="default"/>
        <w:lang w:val="zh-CN" w:eastAsia="zh-CN" w:bidi="zh-CN"/>
      </w:rPr>
    </w:lvl>
    <w:lvl w:ilvl="7" w:tentative="0">
      <w:start w:val="0"/>
      <w:numFmt w:val="bullet"/>
      <w:lvlText w:val="•"/>
      <w:lvlJc w:val="left"/>
      <w:pPr>
        <w:ind w:left="7331" w:hanging="217"/>
      </w:pPr>
      <w:rPr>
        <w:rFonts w:hint="default"/>
        <w:lang w:val="zh-CN" w:eastAsia="zh-CN" w:bidi="zh-CN"/>
      </w:rPr>
    </w:lvl>
    <w:lvl w:ilvl="8" w:tentative="0">
      <w:start w:val="0"/>
      <w:numFmt w:val="bullet"/>
      <w:lvlText w:val="•"/>
      <w:lvlJc w:val="left"/>
      <w:pPr>
        <w:ind w:left="8236" w:hanging="217"/>
      </w:pPr>
      <w:rPr>
        <w:rFonts w:hint="default"/>
        <w:lang w:val="zh-CN" w:eastAsia="zh-CN" w:bidi="zh-C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720"/>
  <w:drawingGridHorizontalSpacing w:val="110"/>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GUzYTgwZTFkMzUzOTQzMTEyZGE4ODI2MWY5YjQxMDMifQ=="/>
  </w:docVars>
  <w:rsids>
    <w:rsidRoot w:val="006D0BE8"/>
    <w:rsid w:val="00002E89"/>
    <w:rsid w:val="000127D4"/>
    <w:rsid w:val="00020AAD"/>
    <w:rsid w:val="00022E9E"/>
    <w:rsid w:val="00033A20"/>
    <w:rsid w:val="00036A01"/>
    <w:rsid w:val="000835E7"/>
    <w:rsid w:val="0008582D"/>
    <w:rsid w:val="00092428"/>
    <w:rsid w:val="000A3487"/>
    <w:rsid w:val="000B022A"/>
    <w:rsid w:val="000D2569"/>
    <w:rsid w:val="000D7EE5"/>
    <w:rsid w:val="000E2C24"/>
    <w:rsid w:val="000F3FDE"/>
    <w:rsid w:val="001038D3"/>
    <w:rsid w:val="00106185"/>
    <w:rsid w:val="00106E42"/>
    <w:rsid w:val="00110F0E"/>
    <w:rsid w:val="00122D09"/>
    <w:rsid w:val="00127681"/>
    <w:rsid w:val="00154986"/>
    <w:rsid w:val="00166C9A"/>
    <w:rsid w:val="00191DD8"/>
    <w:rsid w:val="001E07D4"/>
    <w:rsid w:val="001E2010"/>
    <w:rsid w:val="001E4DBB"/>
    <w:rsid w:val="001F173D"/>
    <w:rsid w:val="001F5398"/>
    <w:rsid w:val="00212556"/>
    <w:rsid w:val="00213E8B"/>
    <w:rsid w:val="0026215F"/>
    <w:rsid w:val="002670C6"/>
    <w:rsid w:val="002A0845"/>
    <w:rsid w:val="002B3447"/>
    <w:rsid w:val="002C38B9"/>
    <w:rsid w:val="002C3C5A"/>
    <w:rsid w:val="002D4E4A"/>
    <w:rsid w:val="002E4D1A"/>
    <w:rsid w:val="002F2E2E"/>
    <w:rsid w:val="00302A05"/>
    <w:rsid w:val="0031074F"/>
    <w:rsid w:val="00332D28"/>
    <w:rsid w:val="00336CCE"/>
    <w:rsid w:val="003410C9"/>
    <w:rsid w:val="00344288"/>
    <w:rsid w:val="00345AC4"/>
    <w:rsid w:val="003A2BEC"/>
    <w:rsid w:val="003D288F"/>
    <w:rsid w:val="004205E3"/>
    <w:rsid w:val="00425116"/>
    <w:rsid w:val="004423C9"/>
    <w:rsid w:val="004671D9"/>
    <w:rsid w:val="00475CA1"/>
    <w:rsid w:val="004912AC"/>
    <w:rsid w:val="00495CDA"/>
    <w:rsid w:val="0049602C"/>
    <w:rsid w:val="004E756C"/>
    <w:rsid w:val="004F7E62"/>
    <w:rsid w:val="00501008"/>
    <w:rsid w:val="00502141"/>
    <w:rsid w:val="005234D7"/>
    <w:rsid w:val="00536945"/>
    <w:rsid w:val="0054644C"/>
    <w:rsid w:val="00565450"/>
    <w:rsid w:val="0058331B"/>
    <w:rsid w:val="00590CA1"/>
    <w:rsid w:val="005E371E"/>
    <w:rsid w:val="005E6667"/>
    <w:rsid w:val="005F437A"/>
    <w:rsid w:val="00607CB5"/>
    <w:rsid w:val="00617712"/>
    <w:rsid w:val="0063227D"/>
    <w:rsid w:val="0063597D"/>
    <w:rsid w:val="00637947"/>
    <w:rsid w:val="00641E35"/>
    <w:rsid w:val="006425C7"/>
    <w:rsid w:val="00660FD1"/>
    <w:rsid w:val="00671B8C"/>
    <w:rsid w:val="00672E1A"/>
    <w:rsid w:val="00674216"/>
    <w:rsid w:val="00676972"/>
    <w:rsid w:val="00677522"/>
    <w:rsid w:val="00697B57"/>
    <w:rsid w:val="006A0D5F"/>
    <w:rsid w:val="006A4477"/>
    <w:rsid w:val="006B4CC7"/>
    <w:rsid w:val="006D0BE8"/>
    <w:rsid w:val="006E5C43"/>
    <w:rsid w:val="006F00CD"/>
    <w:rsid w:val="00703C49"/>
    <w:rsid w:val="00725BBD"/>
    <w:rsid w:val="0072664A"/>
    <w:rsid w:val="00753419"/>
    <w:rsid w:val="00753E02"/>
    <w:rsid w:val="0078123A"/>
    <w:rsid w:val="007A2CCD"/>
    <w:rsid w:val="007A5F72"/>
    <w:rsid w:val="007B35B7"/>
    <w:rsid w:val="007D1560"/>
    <w:rsid w:val="007D73C8"/>
    <w:rsid w:val="007E4C9A"/>
    <w:rsid w:val="007F0464"/>
    <w:rsid w:val="007F2C3A"/>
    <w:rsid w:val="007F670F"/>
    <w:rsid w:val="007F730D"/>
    <w:rsid w:val="00805966"/>
    <w:rsid w:val="008336FB"/>
    <w:rsid w:val="00855A67"/>
    <w:rsid w:val="00855B83"/>
    <w:rsid w:val="008864D5"/>
    <w:rsid w:val="008A3A4F"/>
    <w:rsid w:val="008E7ABA"/>
    <w:rsid w:val="008F1083"/>
    <w:rsid w:val="008F4578"/>
    <w:rsid w:val="0090021B"/>
    <w:rsid w:val="00917032"/>
    <w:rsid w:val="00923263"/>
    <w:rsid w:val="009246F4"/>
    <w:rsid w:val="00932D04"/>
    <w:rsid w:val="00963270"/>
    <w:rsid w:val="0096705B"/>
    <w:rsid w:val="00984F6C"/>
    <w:rsid w:val="00993EBD"/>
    <w:rsid w:val="009A164E"/>
    <w:rsid w:val="009A5E34"/>
    <w:rsid w:val="009A6D22"/>
    <w:rsid w:val="009D701D"/>
    <w:rsid w:val="009E2D58"/>
    <w:rsid w:val="009F2182"/>
    <w:rsid w:val="00A000DC"/>
    <w:rsid w:val="00A0095D"/>
    <w:rsid w:val="00A715FB"/>
    <w:rsid w:val="00A802BB"/>
    <w:rsid w:val="00AD26EE"/>
    <w:rsid w:val="00AD29AE"/>
    <w:rsid w:val="00AF5670"/>
    <w:rsid w:val="00AF6930"/>
    <w:rsid w:val="00B02DC1"/>
    <w:rsid w:val="00B246D0"/>
    <w:rsid w:val="00B257FE"/>
    <w:rsid w:val="00B3672C"/>
    <w:rsid w:val="00B43049"/>
    <w:rsid w:val="00B43A51"/>
    <w:rsid w:val="00B866B1"/>
    <w:rsid w:val="00BB064D"/>
    <w:rsid w:val="00BD72AB"/>
    <w:rsid w:val="00BE5FA4"/>
    <w:rsid w:val="00BF1E17"/>
    <w:rsid w:val="00C071A9"/>
    <w:rsid w:val="00C17EC1"/>
    <w:rsid w:val="00C200E2"/>
    <w:rsid w:val="00C26501"/>
    <w:rsid w:val="00C34CD2"/>
    <w:rsid w:val="00C370BD"/>
    <w:rsid w:val="00C51B14"/>
    <w:rsid w:val="00C559CC"/>
    <w:rsid w:val="00C87F65"/>
    <w:rsid w:val="00C945F1"/>
    <w:rsid w:val="00CA5199"/>
    <w:rsid w:val="00CC3D98"/>
    <w:rsid w:val="00CD2ED5"/>
    <w:rsid w:val="00CD7E73"/>
    <w:rsid w:val="00CE0488"/>
    <w:rsid w:val="00D00943"/>
    <w:rsid w:val="00D04FC9"/>
    <w:rsid w:val="00D13126"/>
    <w:rsid w:val="00D20E58"/>
    <w:rsid w:val="00D23A6A"/>
    <w:rsid w:val="00D24F0B"/>
    <w:rsid w:val="00D26FBC"/>
    <w:rsid w:val="00D41624"/>
    <w:rsid w:val="00D70B1C"/>
    <w:rsid w:val="00D7178C"/>
    <w:rsid w:val="00D81A6D"/>
    <w:rsid w:val="00D823D9"/>
    <w:rsid w:val="00D8249B"/>
    <w:rsid w:val="00D93BD0"/>
    <w:rsid w:val="00DA5798"/>
    <w:rsid w:val="00DA5BDD"/>
    <w:rsid w:val="00DB38A3"/>
    <w:rsid w:val="00DD0C3D"/>
    <w:rsid w:val="00E10B0C"/>
    <w:rsid w:val="00E22575"/>
    <w:rsid w:val="00E52A6B"/>
    <w:rsid w:val="00EC1C32"/>
    <w:rsid w:val="00EC2826"/>
    <w:rsid w:val="00EF2615"/>
    <w:rsid w:val="00F24D21"/>
    <w:rsid w:val="00F25C44"/>
    <w:rsid w:val="00F43ECF"/>
    <w:rsid w:val="00F56D0F"/>
    <w:rsid w:val="00F76B9E"/>
    <w:rsid w:val="00F868B1"/>
    <w:rsid w:val="00F8729D"/>
    <w:rsid w:val="00FC3E1B"/>
    <w:rsid w:val="00FD47F3"/>
    <w:rsid w:val="00FE354B"/>
    <w:rsid w:val="00FF12E5"/>
    <w:rsid w:val="00FF2639"/>
    <w:rsid w:val="01A73D87"/>
    <w:rsid w:val="02CB619B"/>
    <w:rsid w:val="05D84452"/>
    <w:rsid w:val="063A78C0"/>
    <w:rsid w:val="06B70F10"/>
    <w:rsid w:val="06E51C97"/>
    <w:rsid w:val="0721638A"/>
    <w:rsid w:val="07330146"/>
    <w:rsid w:val="07A34FF1"/>
    <w:rsid w:val="07AA45D1"/>
    <w:rsid w:val="08470AEB"/>
    <w:rsid w:val="090441B5"/>
    <w:rsid w:val="0B09160F"/>
    <w:rsid w:val="0CCA615D"/>
    <w:rsid w:val="0DF26CD2"/>
    <w:rsid w:val="0E8055F4"/>
    <w:rsid w:val="0E8A2A67"/>
    <w:rsid w:val="13570330"/>
    <w:rsid w:val="139364A8"/>
    <w:rsid w:val="13D44784"/>
    <w:rsid w:val="144D4C62"/>
    <w:rsid w:val="1458121B"/>
    <w:rsid w:val="14697818"/>
    <w:rsid w:val="152A0AFF"/>
    <w:rsid w:val="16BA2357"/>
    <w:rsid w:val="17E56F60"/>
    <w:rsid w:val="1802759E"/>
    <w:rsid w:val="1811244B"/>
    <w:rsid w:val="18C13529"/>
    <w:rsid w:val="19371A3D"/>
    <w:rsid w:val="195E6FCA"/>
    <w:rsid w:val="1A824F3A"/>
    <w:rsid w:val="1B527002"/>
    <w:rsid w:val="1B5468D6"/>
    <w:rsid w:val="1C4526C3"/>
    <w:rsid w:val="1C8A52A3"/>
    <w:rsid w:val="1CBC0BD7"/>
    <w:rsid w:val="1CDD28FB"/>
    <w:rsid w:val="1CF540E9"/>
    <w:rsid w:val="1CF75B24"/>
    <w:rsid w:val="1D6F3E9B"/>
    <w:rsid w:val="1E18008F"/>
    <w:rsid w:val="1E2A6014"/>
    <w:rsid w:val="1E814E61"/>
    <w:rsid w:val="1FED2191"/>
    <w:rsid w:val="20032679"/>
    <w:rsid w:val="201F4BA5"/>
    <w:rsid w:val="21703D3E"/>
    <w:rsid w:val="21F229A5"/>
    <w:rsid w:val="22751F64"/>
    <w:rsid w:val="228501B9"/>
    <w:rsid w:val="2346744C"/>
    <w:rsid w:val="23DF164F"/>
    <w:rsid w:val="24062738"/>
    <w:rsid w:val="240E2424"/>
    <w:rsid w:val="243E4A8F"/>
    <w:rsid w:val="247973AD"/>
    <w:rsid w:val="25D80104"/>
    <w:rsid w:val="2601765A"/>
    <w:rsid w:val="267C4F33"/>
    <w:rsid w:val="279938C3"/>
    <w:rsid w:val="27CB4310"/>
    <w:rsid w:val="28081174"/>
    <w:rsid w:val="282E04AF"/>
    <w:rsid w:val="285F2D5E"/>
    <w:rsid w:val="28A6098D"/>
    <w:rsid w:val="28D23530"/>
    <w:rsid w:val="29B449E4"/>
    <w:rsid w:val="2A13795C"/>
    <w:rsid w:val="2B6D57B0"/>
    <w:rsid w:val="2BAB3E35"/>
    <w:rsid w:val="2CB36826"/>
    <w:rsid w:val="2E0423DE"/>
    <w:rsid w:val="2ED00512"/>
    <w:rsid w:val="2F68074A"/>
    <w:rsid w:val="2FDD4C94"/>
    <w:rsid w:val="30046142"/>
    <w:rsid w:val="316B62D0"/>
    <w:rsid w:val="319269D1"/>
    <w:rsid w:val="31E85B72"/>
    <w:rsid w:val="328E2276"/>
    <w:rsid w:val="33A67A93"/>
    <w:rsid w:val="35E8438A"/>
    <w:rsid w:val="36186CF3"/>
    <w:rsid w:val="373A0C1E"/>
    <w:rsid w:val="38390ED6"/>
    <w:rsid w:val="394538AA"/>
    <w:rsid w:val="395B30CE"/>
    <w:rsid w:val="3AA30888"/>
    <w:rsid w:val="3C541E8B"/>
    <w:rsid w:val="3C970C18"/>
    <w:rsid w:val="3CCB2319"/>
    <w:rsid w:val="3D975525"/>
    <w:rsid w:val="3DA46DF1"/>
    <w:rsid w:val="3ED9035E"/>
    <w:rsid w:val="3F795F1D"/>
    <w:rsid w:val="40437411"/>
    <w:rsid w:val="41E00614"/>
    <w:rsid w:val="435A5694"/>
    <w:rsid w:val="43D8569B"/>
    <w:rsid w:val="45010FCD"/>
    <w:rsid w:val="450828A9"/>
    <w:rsid w:val="454D5FC1"/>
    <w:rsid w:val="455C466E"/>
    <w:rsid w:val="47CF5E22"/>
    <w:rsid w:val="480F1C53"/>
    <w:rsid w:val="482C010F"/>
    <w:rsid w:val="48757D08"/>
    <w:rsid w:val="49092B40"/>
    <w:rsid w:val="496F29A9"/>
    <w:rsid w:val="4AFF6221"/>
    <w:rsid w:val="509136BD"/>
    <w:rsid w:val="50B1337A"/>
    <w:rsid w:val="51803CD0"/>
    <w:rsid w:val="51B11685"/>
    <w:rsid w:val="51FC6DA4"/>
    <w:rsid w:val="53046F41"/>
    <w:rsid w:val="53536E98"/>
    <w:rsid w:val="5394125E"/>
    <w:rsid w:val="55C31096"/>
    <w:rsid w:val="561666C6"/>
    <w:rsid w:val="56D93B58"/>
    <w:rsid w:val="578A7759"/>
    <w:rsid w:val="58FC58DC"/>
    <w:rsid w:val="595079D6"/>
    <w:rsid w:val="5A511C57"/>
    <w:rsid w:val="5A6C4CE3"/>
    <w:rsid w:val="5ADA39FB"/>
    <w:rsid w:val="5B4E41E4"/>
    <w:rsid w:val="5BC07095"/>
    <w:rsid w:val="5C871960"/>
    <w:rsid w:val="5CAD7641"/>
    <w:rsid w:val="5DB6074F"/>
    <w:rsid w:val="5DE410BC"/>
    <w:rsid w:val="5DFE5C52"/>
    <w:rsid w:val="5E2C0A11"/>
    <w:rsid w:val="5F3804CF"/>
    <w:rsid w:val="601B0D3D"/>
    <w:rsid w:val="609B2F18"/>
    <w:rsid w:val="60D333C6"/>
    <w:rsid w:val="614B7400"/>
    <w:rsid w:val="62DB0C58"/>
    <w:rsid w:val="63C45248"/>
    <w:rsid w:val="641631E4"/>
    <w:rsid w:val="66C0651E"/>
    <w:rsid w:val="67760F4F"/>
    <w:rsid w:val="68350126"/>
    <w:rsid w:val="68402C81"/>
    <w:rsid w:val="684A6664"/>
    <w:rsid w:val="68C67D2C"/>
    <w:rsid w:val="69112CDD"/>
    <w:rsid w:val="69252C2D"/>
    <w:rsid w:val="69AD5C43"/>
    <w:rsid w:val="6AFC6C18"/>
    <w:rsid w:val="6B463390"/>
    <w:rsid w:val="6CA97A19"/>
    <w:rsid w:val="6CC14A1B"/>
    <w:rsid w:val="6CE963F9"/>
    <w:rsid w:val="6E1A0886"/>
    <w:rsid w:val="6E5974C9"/>
    <w:rsid w:val="6E8E3022"/>
    <w:rsid w:val="6EFA126F"/>
    <w:rsid w:val="6F5953DE"/>
    <w:rsid w:val="70B8092D"/>
    <w:rsid w:val="70DA722D"/>
    <w:rsid w:val="715F193C"/>
    <w:rsid w:val="726D3149"/>
    <w:rsid w:val="7270316B"/>
    <w:rsid w:val="72F33A41"/>
    <w:rsid w:val="74827185"/>
    <w:rsid w:val="74A72748"/>
    <w:rsid w:val="75652BFD"/>
    <w:rsid w:val="757F5473"/>
    <w:rsid w:val="7608190C"/>
    <w:rsid w:val="763270CA"/>
    <w:rsid w:val="76BD7252"/>
    <w:rsid w:val="76E77774"/>
    <w:rsid w:val="772159C3"/>
    <w:rsid w:val="79A11E5C"/>
    <w:rsid w:val="7B166879"/>
    <w:rsid w:val="7B1D3764"/>
    <w:rsid w:val="7E53749D"/>
    <w:rsid w:val="7E7A2C7B"/>
    <w:rsid w:val="7E836204"/>
    <w:rsid w:val="7EF72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360"/>
      <w:jc w:val="center"/>
      <w:outlineLvl w:val="0"/>
    </w:pPr>
    <w:rPr>
      <w:sz w:val="21"/>
      <w:szCs w:val="21"/>
    </w:rPr>
  </w:style>
  <w:style w:type="paragraph" w:styleId="3">
    <w:name w:val="heading 2"/>
    <w:basedOn w:val="1"/>
    <w:next w:val="1"/>
    <w:qFormat/>
    <w:uiPriority w:val="1"/>
    <w:pPr>
      <w:ind w:left="5114" w:hanging="4392"/>
      <w:outlineLvl w:val="1"/>
    </w:pPr>
    <w:rPr>
      <w:sz w:val="18"/>
      <w:szCs w:val="18"/>
    </w:rPr>
  </w:style>
  <w:style w:type="paragraph" w:styleId="4">
    <w:name w:val="heading 3"/>
    <w:basedOn w:val="1"/>
    <w:next w:val="1"/>
    <w:qFormat/>
    <w:uiPriority w:val="1"/>
    <w:pPr>
      <w:ind w:left="453"/>
      <w:outlineLvl w:val="2"/>
    </w:pPr>
    <w:rPr>
      <w:b/>
      <w:bCs/>
      <w:sz w:val="17"/>
      <w:szCs w:val="17"/>
    </w:rPr>
  </w:style>
  <w:style w:type="paragraph" w:styleId="5">
    <w:name w:val="heading 4"/>
    <w:basedOn w:val="1"/>
    <w:next w:val="1"/>
    <w:qFormat/>
    <w:uiPriority w:val="1"/>
    <w:pPr>
      <w:spacing w:before="1"/>
      <w:ind w:left="813"/>
      <w:outlineLvl w:val="3"/>
    </w:pPr>
    <w:rPr>
      <w:sz w:val="17"/>
      <w:szCs w:val="17"/>
    </w:rPr>
  </w:style>
  <w:style w:type="paragraph" w:styleId="6">
    <w:name w:val="heading 5"/>
    <w:basedOn w:val="1"/>
    <w:next w:val="1"/>
    <w:qFormat/>
    <w:uiPriority w:val="1"/>
    <w:pPr>
      <w:spacing w:before="81"/>
      <w:ind w:left="120"/>
      <w:outlineLvl w:val="4"/>
    </w:pPr>
    <w:rPr>
      <w:b/>
      <w:bCs/>
      <w:sz w:val="16"/>
      <w:szCs w:val="16"/>
    </w:rPr>
  </w:style>
  <w:style w:type="paragraph" w:styleId="7">
    <w:name w:val="heading 6"/>
    <w:basedOn w:val="1"/>
    <w:next w:val="1"/>
    <w:unhideWhenUsed/>
    <w:qFormat/>
    <w:uiPriority w:val="0"/>
    <w:pPr>
      <w:keepNext/>
      <w:keepLines/>
      <w:spacing w:line="317" w:lineRule="auto"/>
      <w:outlineLvl w:val="5"/>
    </w:pPr>
    <w:rPr>
      <w:rFonts w:ascii="Arial" w:hAnsi="Arial" w:eastAsia="黑体"/>
      <w:b/>
      <w:sz w:val="24"/>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annotation text"/>
    <w:basedOn w:val="1"/>
    <w:link w:val="27"/>
    <w:qFormat/>
    <w:uiPriority w:val="0"/>
  </w:style>
  <w:style w:type="paragraph" w:styleId="9">
    <w:name w:val="Body Text"/>
    <w:basedOn w:val="1"/>
    <w:link w:val="31"/>
    <w:qFormat/>
    <w:uiPriority w:val="1"/>
    <w:rPr>
      <w:sz w:val="14"/>
      <w:szCs w:val="14"/>
    </w:rPr>
  </w:style>
  <w:style w:type="paragraph" w:styleId="10">
    <w:name w:val="Plain Text"/>
    <w:basedOn w:val="1"/>
    <w:unhideWhenUsed/>
    <w:qFormat/>
    <w:uiPriority w:val="0"/>
    <w:rPr>
      <w:rFonts w:hAnsi="Courier New" w:cstheme="minorBidi"/>
    </w:rPr>
  </w:style>
  <w:style w:type="paragraph" w:styleId="11">
    <w:name w:val="Balloon Text"/>
    <w:basedOn w:val="1"/>
    <w:link w:val="29"/>
    <w:qFormat/>
    <w:uiPriority w:val="0"/>
    <w:rPr>
      <w:sz w:val="18"/>
      <w:szCs w:val="18"/>
    </w:rPr>
  </w:style>
  <w:style w:type="paragraph" w:styleId="12">
    <w:name w:val="footer"/>
    <w:basedOn w:val="1"/>
    <w:link w:val="26"/>
    <w:qFormat/>
    <w:uiPriority w:val="99"/>
    <w:pPr>
      <w:tabs>
        <w:tab w:val="center" w:pos="4153"/>
        <w:tab w:val="right" w:pos="8306"/>
      </w:tabs>
      <w:snapToGrid w:val="0"/>
    </w:pPr>
    <w:rPr>
      <w:sz w:val="18"/>
      <w:szCs w:val="18"/>
    </w:rPr>
  </w:style>
  <w:style w:type="paragraph" w:styleId="13">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8"/>
    <w:next w:val="8"/>
    <w:link w:val="28"/>
    <w:qFormat/>
    <w:uiPriority w:val="0"/>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954F72"/>
      <w:u w:val="single"/>
    </w:rPr>
  </w:style>
  <w:style w:type="character" w:styleId="19">
    <w:name w:val="Hyperlink"/>
    <w:basedOn w:val="17"/>
    <w:semiHidden/>
    <w:unhideWhenUsed/>
    <w:qFormat/>
    <w:uiPriority w:val="99"/>
    <w:rPr>
      <w:color w:val="0563C1"/>
      <w:u w:val="single"/>
    </w:rPr>
  </w:style>
  <w:style w:type="character" w:styleId="20">
    <w:name w:val="annotation reference"/>
    <w:basedOn w:val="17"/>
    <w:qFormat/>
    <w:uiPriority w:val="0"/>
    <w:rPr>
      <w:sz w:val="21"/>
      <w:szCs w:val="21"/>
    </w:rPr>
  </w:style>
  <w:style w:type="table" w:customStyle="1" w:styleId="21">
    <w:name w:val="Table Normal"/>
    <w:unhideWhenUsed/>
    <w:qFormat/>
    <w:uiPriority w:val="2"/>
    <w:tblPr>
      <w:tblCellMar>
        <w:top w:w="0" w:type="dxa"/>
        <w:left w:w="0" w:type="dxa"/>
        <w:bottom w:w="0" w:type="dxa"/>
        <w:right w:w="0" w:type="dxa"/>
      </w:tblCellMar>
    </w:tblPr>
  </w:style>
  <w:style w:type="paragraph" w:customStyle="1" w:styleId="22">
    <w:name w:val="列出段落1"/>
    <w:basedOn w:val="1"/>
    <w:qFormat/>
    <w:uiPriority w:val="1"/>
    <w:pPr>
      <w:ind w:left="838" w:hanging="362"/>
    </w:pPr>
  </w:style>
  <w:style w:type="paragraph" w:customStyle="1" w:styleId="23">
    <w:name w:val="Table Paragraph"/>
    <w:basedOn w:val="1"/>
    <w:qFormat/>
    <w:uiPriority w:val="1"/>
    <w:pPr>
      <w:spacing w:before="52"/>
    </w:pPr>
  </w:style>
  <w:style w:type="paragraph" w:customStyle="1" w:styleId="24">
    <w:name w:val="p0"/>
    <w:basedOn w:val="1"/>
    <w:qFormat/>
    <w:uiPriority w:val="0"/>
    <w:pPr>
      <w:widowControl/>
    </w:pPr>
    <w:rPr>
      <w:szCs w:val="21"/>
    </w:rPr>
  </w:style>
  <w:style w:type="character" w:customStyle="1" w:styleId="25">
    <w:name w:val="页眉 Char"/>
    <w:basedOn w:val="17"/>
    <w:link w:val="13"/>
    <w:qFormat/>
    <w:uiPriority w:val="99"/>
    <w:rPr>
      <w:rFonts w:ascii="宋体" w:hAnsi="宋体" w:cs="宋体"/>
      <w:sz w:val="18"/>
      <w:szCs w:val="18"/>
      <w:lang w:val="zh-CN" w:bidi="zh-CN"/>
    </w:rPr>
  </w:style>
  <w:style w:type="character" w:customStyle="1" w:styleId="26">
    <w:name w:val="页脚 Char"/>
    <w:basedOn w:val="17"/>
    <w:link w:val="12"/>
    <w:qFormat/>
    <w:uiPriority w:val="99"/>
    <w:rPr>
      <w:rFonts w:ascii="宋体" w:hAnsi="宋体" w:cs="宋体"/>
      <w:sz w:val="18"/>
      <w:szCs w:val="18"/>
      <w:lang w:val="zh-CN" w:bidi="zh-CN"/>
    </w:rPr>
  </w:style>
  <w:style w:type="character" w:customStyle="1" w:styleId="27">
    <w:name w:val="批注文字 Char"/>
    <w:basedOn w:val="17"/>
    <w:link w:val="8"/>
    <w:qFormat/>
    <w:uiPriority w:val="0"/>
    <w:rPr>
      <w:rFonts w:ascii="宋体" w:hAnsi="宋体" w:cs="宋体"/>
      <w:sz w:val="22"/>
      <w:szCs w:val="22"/>
      <w:lang w:val="zh-CN" w:bidi="zh-CN"/>
    </w:rPr>
  </w:style>
  <w:style w:type="character" w:customStyle="1" w:styleId="28">
    <w:name w:val="批注主题 Char"/>
    <w:basedOn w:val="27"/>
    <w:link w:val="14"/>
    <w:qFormat/>
    <w:uiPriority w:val="0"/>
    <w:rPr>
      <w:rFonts w:ascii="宋体" w:hAnsi="宋体" w:cs="宋体"/>
      <w:b/>
      <w:bCs/>
      <w:sz w:val="22"/>
      <w:szCs w:val="22"/>
      <w:lang w:val="zh-CN" w:bidi="zh-CN"/>
    </w:rPr>
  </w:style>
  <w:style w:type="character" w:customStyle="1" w:styleId="29">
    <w:name w:val="批注框文本 Char"/>
    <w:basedOn w:val="17"/>
    <w:link w:val="11"/>
    <w:qFormat/>
    <w:uiPriority w:val="0"/>
    <w:rPr>
      <w:rFonts w:ascii="宋体" w:hAnsi="宋体" w:cs="宋体"/>
      <w:sz w:val="18"/>
      <w:szCs w:val="18"/>
      <w:lang w:val="zh-CN" w:bidi="zh-CN"/>
    </w:rPr>
  </w:style>
  <w:style w:type="paragraph" w:styleId="30">
    <w:name w:val="List Paragraph"/>
    <w:basedOn w:val="1"/>
    <w:unhideWhenUsed/>
    <w:uiPriority w:val="99"/>
    <w:pPr>
      <w:ind w:firstLine="420" w:firstLineChars="200"/>
    </w:pPr>
  </w:style>
  <w:style w:type="character" w:customStyle="1" w:styleId="31">
    <w:name w:val="正文文本 Char"/>
    <w:basedOn w:val="17"/>
    <w:link w:val="9"/>
    <w:uiPriority w:val="1"/>
    <w:rPr>
      <w:rFonts w:ascii="宋体" w:hAnsi="宋体" w:cs="宋体"/>
      <w:sz w:val="14"/>
      <w:szCs w:val="14"/>
      <w:lang w:val="zh-CN" w:bidi="zh-CN"/>
    </w:rPr>
  </w:style>
  <w:style w:type="paragraph" w:customStyle="1" w:styleId="32">
    <w:name w:val="font5"/>
    <w:basedOn w:val="1"/>
    <w:uiPriority w:val="0"/>
    <w:pPr>
      <w:widowControl/>
      <w:autoSpaceDE/>
      <w:autoSpaceDN/>
      <w:spacing w:before="100" w:beforeAutospacing="1" w:after="100" w:afterAutospacing="1"/>
    </w:pPr>
    <w:rPr>
      <w:rFonts w:ascii="等线" w:hAnsi="等线" w:eastAsia="等线"/>
      <w:sz w:val="18"/>
      <w:szCs w:val="18"/>
      <w:lang w:val="en-US" w:bidi="ar-SA"/>
    </w:rPr>
  </w:style>
  <w:style w:type="paragraph" w:customStyle="1" w:styleId="33">
    <w:name w:val="font6"/>
    <w:basedOn w:val="1"/>
    <w:qFormat/>
    <w:uiPriority w:val="0"/>
    <w:pPr>
      <w:widowControl/>
      <w:autoSpaceDE/>
      <w:autoSpaceDN/>
      <w:spacing w:before="100" w:beforeAutospacing="1" w:after="100" w:afterAutospacing="1"/>
    </w:pPr>
    <w:rPr>
      <w:rFonts w:ascii="等线" w:hAnsi="等线" w:eastAsia="等线"/>
      <w:sz w:val="18"/>
      <w:szCs w:val="18"/>
      <w:lang w:val="en-US" w:bidi="ar-SA"/>
    </w:rPr>
  </w:style>
  <w:style w:type="paragraph" w:customStyle="1" w:styleId="34">
    <w:name w:val="xl65"/>
    <w:basedOn w:val="1"/>
    <w:uiPriority w:val="0"/>
    <w:pPr>
      <w:widowControl/>
      <w:autoSpaceDE/>
      <w:autoSpaceDN/>
      <w:spacing w:before="100" w:beforeAutospacing="1" w:after="100" w:afterAutospacing="1"/>
    </w:pPr>
    <w:rPr>
      <w:sz w:val="24"/>
      <w:szCs w:val="24"/>
      <w:lang w:val="en-US" w:bidi="ar-SA"/>
    </w:rPr>
  </w:style>
  <w:style w:type="paragraph" w:customStyle="1" w:styleId="35">
    <w:name w:val="xl6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36">
    <w:name w:val="xl6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bottom"/>
    </w:pPr>
    <w:rPr>
      <w:sz w:val="24"/>
      <w:szCs w:val="24"/>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2ADA96-9B1D-4DA0-92ED-A5CB02732C9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58</Pages>
  <Words>14483</Words>
  <Characters>15944</Characters>
  <Lines>140</Lines>
  <Paragraphs>39</Paragraphs>
  <TotalTime>295</TotalTime>
  <ScaleCrop>false</ScaleCrop>
  <LinksUpToDate>false</LinksUpToDate>
  <CharactersWithSpaces>16190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2021-03-20T07:05:00Z</dcterms:created>
  <dc:creator>zmm0320</dc:creator>
  <cp:lastModifiedBy>潘达尔</cp:lastModifiedBy>
  <dcterms:modified xsi:type="dcterms:W3CDTF">2022-12-23T11:39:31Z</dcterms:modified>
  <cp:revision>186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2020-01-12T00:00:00Z</vt:filetime>
  </property>
  <property fmtid="{D5CDD505-2E9C-101B-9397-08002B2CF9AE}" pid="3" name="LastSaved">
    <vt:filetime>2020-01-12T00:00:00Z</vt:filetime>
  </property>
  <property fmtid="{D5CDD505-2E9C-101B-9397-08002B2CF9AE}" pid="4" name="KSOProductBuildVer">
    <vt:lpwstr>2052-11.1.0.12763</vt:lpwstr>
  </property>
  <property fmtid="{D5CDD505-2E9C-101B-9397-08002B2CF9AE}" pid="5" name="ICV">
    <vt:lpwstr>53004906E874811625652962F4FADF86</vt:lpwstr>
  </property>
</Properties>
</file>